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小标宋简体" w:eastAsia="方正小标宋简体"/>
          <w:b/>
          <w:color w:val="FF0000"/>
          <w:spacing w:val="80"/>
          <w:sz w:val="92"/>
          <w:szCs w:val="92"/>
        </w:rPr>
      </w:pPr>
      <w:bookmarkStart w:id="0" w:name="OLE_LINK1"/>
      <w:bookmarkStart w:id="1" w:name="_Toc1786"/>
      <w:bookmarkStart w:id="2" w:name="_Toc11083"/>
      <w:bookmarkStart w:id="3" w:name="_Toc18647"/>
      <w:bookmarkStart w:id="4" w:name="_Toc25110"/>
      <w:r>
        <w:rPr>
          <w:rFonts w:hint="eastAsia" w:ascii="方正小标宋简体" w:eastAsia="方正小标宋简体"/>
          <w:b/>
          <w:color w:val="FF0000"/>
          <w:spacing w:val="80"/>
          <w:sz w:val="92"/>
          <w:szCs w:val="92"/>
        </w:rPr>
        <w:t>北海艺术设计学院</w:t>
      </w:r>
    </w:p>
    <w:p>
      <w:pPr>
        <w:adjustRightInd w:val="0"/>
        <w:snapToGrid w:val="0"/>
        <w:spacing w:line="570" w:lineRule="exact"/>
        <w:jc w:val="center"/>
        <w:rPr>
          <w:rFonts w:ascii="微软雅黑" w:hAnsi="微软雅黑" w:eastAsia="微软雅黑"/>
          <w:b/>
          <w:bCs/>
          <w:color w:val="auto"/>
          <w:sz w:val="32"/>
          <w:szCs w:val="32"/>
          <w:shd w:val="clear" w:color="auto" w:fill="FFFFFF"/>
        </w:rPr>
      </w:pPr>
      <w:r>
        <w:rPr>
          <w:rFonts w:hint="eastAsia"/>
          <w:color w:val="auto"/>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393065</wp:posOffset>
                </wp:positionV>
                <wp:extent cx="5633720" cy="14605"/>
                <wp:effectExtent l="0" t="19050" r="5080" b="23495"/>
                <wp:wrapNone/>
                <wp:docPr id="3" name="直接连接符 3"/>
                <wp:cNvGraphicFramePr/>
                <a:graphic xmlns:a="http://schemas.openxmlformats.org/drawingml/2006/main">
                  <a:graphicData uri="http://schemas.microsoft.com/office/word/2010/wordprocessingShape">
                    <wps:wsp>
                      <wps:cNvCnPr/>
                      <wps:spPr bwMode="auto">
                        <a:xfrm>
                          <a:off x="0" y="0"/>
                          <a:ext cx="5633720" cy="14605"/>
                        </a:xfrm>
                        <a:prstGeom prst="line">
                          <a:avLst/>
                        </a:prstGeom>
                        <a:noFill/>
                        <a:ln w="38100">
                          <a:solidFill>
                            <a:srgbClr val="FF0000"/>
                          </a:solidFill>
                          <a:round/>
                        </a:ln>
                        <a:effectLst/>
                      </wps:spPr>
                      <wps:bodyPr/>
                    </wps:wsp>
                  </a:graphicData>
                </a:graphic>
              </wp:anchor>
            </w:drawing>
          </mc:Choice>
          <mc:Fallback>
            <w:pict>
              <v:line id="_x0000_s1026" o:spid="_x0000_s1026" o:spt="20" style="position:absolute;left:0pt;margin-left:0pt;margin-top:30.95pt;height:1.15pt;width:443.6pt;z-index:251659264;mso-width-relative:page;mso-height-relative:page;" filled="f" stroked="t" coordsize="21600,21600" o:gfxdata="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YaahdkAAAAGAQAADwAAAAAAAAAB&#10;ACAAAAAiAAAAZHJzL2Rvd25yZXYueG1sUEsBAhQAFAAAAAgAh07iQF7PJcbWAQAAiwMAAA4AAAAA&#10;AAAAAQAgAAAAKAEAAGRycy9lMm9Eb2MueG1sUEsFBgAAAAAGAAYAWQEAAHAFAAAAAA==&#10;">
                <v:fill on="f" focussize="0,0"/>
                <v:stroke weight="3pt" color="#FF0000" joinstyle="round"/>
                <v:imagedata o:title=""/>
                <o:lock v:ext="edit" aspectratio="f"/>
              </v:line>
            </w:pict>
          </mc:Fallback>
        </mc:AlternateContent>
      </w:r>
      <w:r>
        <w:rPr>
          <w:rFonts w:hint="eastAsia" w:ascii="方正仿宋简体" w:eastAsia="方正仿宋简体"/>
          <w:color w:val="auto"/>
          <w:sz w:val="32"/>
          <w:szCs w:val="32"/>
        </w:rPr>
        <w:t>北艺</w:t>
      </w:r>
      <w:r>
        <w:rPr>
          <w:rFonts w:hint="eastAsia" w:ascii="方正仿宋简体" w:eastAsia="方正仿宋简体"/>
          <w:color w:val="auto"/>
          <w:sz w:val="32"/>
          <w:szCs w:val="32"/>
          <w:lang w:val="en-US" w:eastAsia="zh-CN"/>
        </w:rPr>
        <w:t>教</w:t>
      </w:r>
      <w:r>
        <w:rPr>
          <w:rFonts w:hint="eastAsia" w:ascii="方正仿宋简体" w:eastAsia="方正仿宋简体"/>
          <w:color w:val="auto"/>
          <w:sz w:val="32"/>
          <w:szCs w:val="32"/>
        </w:rPr>
        <w:t>发〔20</w:t>
      </w:r>
      <w:r>
        <w:rPr>
          <w:rFonts w:hint="eastAsia" w:ascii="方正仿宋简体" w:eastAsia="方正仿宋简体"/>
          <w:color w:val="auto"/>
          <w:sz w:val="32"/>
          <w:szCs w:val="32"/>
          <w:lang w:val="en-US" w:eastAsia="zh-CN"/>
        </w:rPr>
        <w:t>21</w:t>
      </w:r>
      <w:r>
        <w:rPr>
          <w:rFonts w:hint="eastAsia" w:ascii="方正仿宋简体" w:eastAsia="方正仿宋简体"/>
          <w:color w:val="auto"/>
          <w:sz w:val="32"/>
          <w:szCs w:val="32"/>
        </w:rPr>
        <w:t>〕</w:t>
      </w:r>
      <w:r>
        <w:rPr>
          <w:rFonts w:hint="eastAsia" w:ascii="方正仿宋简体" w:eastAsia="方正仿宋简体"/>
          <w:color w:val="auto"/>
          <w:sz w:val="32"/>
          <w:szCs w:val="32"/>
          <w:lang w:val="en-US" w:eastAsia="zh-CN"/>
        </w:rPr>
        <w:t>45</w:t>
      </w:r>
      <w:r>
        <w:rPr>
          <w:rFonts w:hint="eastAsia" w:ascii="方正仿宋简体" w:eastAsia="方正仿宋简体"/>
          <w:color w:val="auto"/>
          <w:sz w:val="32"/>
          <w:szCs w:val="32"/>
        </w:rPr>
        <w:t>号</w:t>
      </w:r>
    </w:p>
    <w:p>
      <w:pPr>
        <w:keepNext w:val="0"/>
        <w:keepLines w:val="0"/>
        <w:pageBreakBefore w:val="0"/>
        <w:widowControl w:val="0"/>
        <w:kinsoku/>
        <w:wordWrap/>
        <w:overflowPunct/>
        <w:topLinePunct w:val="0"/>
        <w:autoSpaceDE/>
        <w:autoSpaceDN/>
        <w:bidi w:val="0"/>
        <w:adjustRightInd w:val="0"/>
        <w:snapToGrid w:val="0"/>
        <w:spacing w:line="570" w:lineRule="exact"/>
        <w:jc w:val="center"/>
        <w:textAlignment w:val="auto"/>
        <w:outlineLvl w:val="9"/>
        <w:rPr>
          <w:rFonts w:ascii="微软雅黑" w:hAnsi="微软雅黑" w:eastAsia="微软雅黑"/>
          <w:b/>
          <w:bCs/>
          <w:color w:val="000000"/>
          <w:sz w:val="32"/>
          <w:szCs w:val="32"/>
          <w:shd w:val="clear" w:color="auto" w:fill="FFFFFF"/>
        </w:rPr>
      </w:pPr>
    </w:p>
    <w:bookmarkEnd w:id="0"/>
    <w:p>
      <w:pPr>
        <w:keepNext w:val="0"/>
        <w:keepLines w:val="0"/>
        <w:pageBreakBefore w:val="0"/>
        <w:widowControl w:val="0"/>
        <w:kinsoku/>
        <w:wordWrap/>
        <w:overflowPunct/>
        <w:topLinePunct w:val="0"/>
        <w:autoSpaceDE/>
        <w:autoSpaceDN/>
        <w:bidi w:val="0"/>
        <w:adjustRightInd/>
        <w:snapToGrid/>
        <w:spacing w:line="570" w:lineRule="exact"/>
        <w:jc w:val="center"/>
        <w:textAlignment w:val="auto"/>
        <w:outlineLvl w:val="1"/>
        <w:rPr>
          <w:rFonts w:hint="eastAsia" w:ascii="方正小标宋简体" w:hAnsi="方正小标宋简体" w:eastAsia="方正小标宋简体" w:cs="方正小标宋简体"/>
          <w:sz w:val="44"/>
          <w:szCs w:val="44"/>
        </w:rPr>
      </w:pPr>
      <w:r>
        <w:rPr>
          <w:rFonts w:hint="eastAsia" w:ascii="方正小标宋简体" w:hAnsi="宋体" w:eastAsia="方正小标宋简体"/>
          <w:bCs/>
          <w:color w:val="000000"/>
          <w:sz w:val="44"/>
          <w:szCs w:val="44"/>
        </w:rPr>
        <w:t>关于印发《</w:t>
      </w:r>
      <w:r>
        <w:rPr>
          <w:rFonts w:hint="eastAsia" w:ascii="方正小标宋简体" w:hAnsi="方正小标宋简体" w:eastAsia="方正小标宋简体" w:cs="方正小标宋简体"/>
          <w:sz w:val="44"/>
          <w:szCs w:val="44"/>
        </w:rPr>
        <w:t>北海艺术设计学院一流课程</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outlineLvl w:val="1"/>
        <w:rPr>
          <w:rFonts w:hint="eastAsia" w:ascii="方正小标宋简体" w:hAnsi="宋体" w:eastAsia="方正小标宋简体"/>
          <w:bCs/>
          <w:color w:val="000000"/>
          <w:sz w:val="44"/>
          <w:szCs w:val="44"/>
        </w:rPr>
      </w:pPr>
      <w:r>
        <w:rPr>
          <w:rFonts w:hint="eastAsia" w:ascii="方正小标宋简体" w:hAnsi="方正小标宋简体" w:eastAsia="方正小标宋简体" w:cs="方正小标宋简体"/>
          <w:sz w:val="44"/>
          <w:szCs w:val="44"/>
        </w:rPr>
        <w:t>建设方案</w:t>
      </w:r>
      <w:r>
        <w:rPr>
          <w:rFonts w:hint="eastAsia" w:ascii="方正小标宋简体" w:hAnsi="宋体" w:eastAsia="方正小标宋简体"/>
          <w:bCs/>
          <w:color w:val="000000"/>
          <w:sz w:val="44"/>
          <w:szCs w:val="44"/>
        </w:rPr>
        <w:t>》的通知</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outlineLvl w:val="9"/>
        <w:rPr>
          <w:rFonts w:ascii="方正小标宋简体" w:hAnsi="宋体" w:eastAsia="方正小标宋简体"/>
          <w:sz w:val="32"/>
          <w:szCs w:val="32"/>
        </w:rPr>
      </w:pPr>
    </w:p>
    <w:bookmarkEnd w:id="1"/>
    <w:bookmarkEnd w:id="2"/>
    <w:bookmarkEnd w:id="3"/>
    <w:bookmarkEnd w:id="4"/>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学校各部门、单位：</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方正仿宋简体" w:eastAsia="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color w:val="000000" w:themeColor="text1"/>
          <w:kern w:val="0"/>
          <w:sz w:val="32"/>
          <w:szCs w:val="32"/>
          <w:lang w:val="en-US" w:eastAsia="zh-CN"/>
          <w14:textFill>
            <w14:solidFill>
              <w14:schemeClr w14:val="tx1"/>
            </w14:solidFill>
          </w14:textFill>
        </w:rPr>
        <w:t>为深入推进学校一流课程建设，提高本科人才培养质量，依据《教育部关于加快建设高水平本科教育全面提高人才培养能力的意见》（教高〔2018〕2号）、《教育部关于深化本科教育教学改革全面提高人才培养质量的意见》（教高〔2019〕6号）、《教育部办公厅关于实施一流本科专业建设“双万计划”的通知》（教高厅函〔2019〕18号）、《教育部关于一流本科课程建设的实施意见》（教高〔2019〕8号）等文件精神，</w:t>
      </w:r>
      <w:bookmarkStart w:id="36" w:name="_GoBack"/>
      <w:bookmarkEnd w:id="36"/>
      <w:r>
        <w:rPr>
          <w:rFonts w:hint="eastAsia" w:ascii="方正仿宋简体" w:hAnsi="方正仿宋简体" w:eastAsia="方正仿宋简体"/>
          <w:color w:val="000000" w:themeColor="text1"/>
          <w:sz w:val="32"/>
          <w:szCs w:val="20"/>
          <w:lang w:val="en-US" w:eastAsia="zh-CN"/>
          <w14:textFill>
            <w14:solidFill>
              <w14:schemeClr w14:val="tx1"/>
            </w14:solidFill>
          </w14:textFill>
        </w:rPr>
        <w:t>学校制定了《</w:t>
      </w:r>
      <w:r>
        <w:rPr>
          <w:rFonts w:hint="eastAsia" w:ascii="方正仿宋简体" w:hAnsi="方正仿宋简体" w:eastAsia="方正仿宋简体" w:cs="方正仿宋简体"/>
          <w:color w:val="000000" w:themeColor="text1"/>
          <w:kern w:val="0"/>
          <w:sz w:val="32"/>
          <w:szCs w:val="32"/>
          <w:lang w:eastAsia="zh-CN"/>
          <w14:textFill>
            <w14:solidFill>
              <w14:schemeClr w14:val="tx1"/>
            </w14:solidFill>
          </w14:textFill>
        </w:rPr>
        <w:t>北海艺术设计学院一流课程建设方案</w:t>
      </w:r>
      <w:r>
        <w:rPr>
          <w:rFonts w:hint="eastAsia" w:ascii="方正仿宋简体" w:hAnsi="方正仿宋简体" w:eastAsia="方正仿宋简体"/>
          <w:color w:val="000000" w:themeColor="text1"/>
          <w:sz w:val="32"/>
          <w:szCs w:val="20"/>
          <w:lang w:val="en-US" w:eastAsia="zh-CN"/>
          <w14:textFill>
            <w14:solidFill>
              <w14:schemeClr w14:val="tx1"/>
            </w14:solidFill>
          </w14:textFill>
        </w:rPr>
        <w:t>》。</w:t>
      </w:r>
      <w:r>
        <w:rPr>
          <w:rFonts w:hint="eastAsia" w:ascii="方正仿宋简体" w:hAnsi="方正仿宋简体" w:eastAsia="方正仿宋简体"/>
          <w:color w:val="000000" w:themeColor="text1"/>
          <w:sz w:val="32"/>
          <w:szCs w:val="20"/>
          <w14:textFill>
            <w14:solidFill>
              <w14:schemeClr w14:val="tx1"/>
            </w14:solidFill>
          </w14:textFill>
        </w:rPr>
        <w:t>现</w:t>
      </w:r>
      <w:r>
        <w:rPr>
          <w:rFonts w:hint="eastAsia" w:ascii="方正仿宋简体" w:eastAsia="方正仿宋简体"/>
          <w:color w:val="000000" w:themeColor="text1"/>
          <w:sz w:val="32"/>
          <w:szCs w:val="32"/>
          <w14:textFill>
            <w14:solidFill>
              <w14:schemeClr w14:val="tx1"/>
            </w14:solidFill>
          </w14:textFill>
        </w:rPr>
        <w:t>予以印发</w:t>
      </w:r>
      <w:r>
        <w:rPr>
          <w:rFonts w:hint="eastAsia" w:ascii="方正仿宋简体" w:hAnsi="宋体" w:eastAsia="方正仿宋简体" w:cs="宋体"/>
          <w:color w:val="000000" w:themeColor="text1"/>
          <w:sz w:val="32"/>
          <w:szCs w:val="32"/>
          <w14:textFill>
            <w14:solidFill>
              <w14:schemeClr w14:val="tx1"/>
            </w14:solidFill>
          </w14:textFill>
        </w:rPr>
        <w:t>，</w:t>
      </w:r>
      <w:r>
        <w:rPr>
          <w:rFonts w:hint="eastAsia" w:ascii="方正仿宋简体" w:eastAsia="方正仿宋简体"/>
          <w:color w:val="000000" w:themeColor="text1"/>
          <w:sz w:val="32"/>
          <w:szCs w:val="32"/>
          <w14:textFill>
            <w14:solidFill>
              <w14:schemeClr w14:val="tx1"/>
            </w14:solidFill>
          </w14:textFill>
        </w:rPr>
        <w:t>请认真贯彻执行。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方正仿宋简体" w:eastAsia="方正仿宋简体"/>
          <w:color w:val="0000FF"/>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方正仿宋简体" w:eastAsia="方正仿宋简体"/>
          <w:color w:val="0000FF"/>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right"/>
        <w:textAlignment w:val="auto"/>
        <w:outlineLvl w:val="9"/>
        <w:rPr>
          <w:rFonts w:hint="eastAsia" w:ascii="方正仿宋简体" w:hAnsi="宋体" w:eastAsia="方正仿宋简体" w:cs="宋体"/>
          <w:color w:val="000000" w:themeColor="text1"/>
          <w:sz w:val="32"/>
          <w:szCs w:val="32"/>
          <w:lang w:val="en-US" w:eastAsia="zh-CN"/>
          <w14:textFill>
            <w14:solidFill>
              <w14:schemeClr w14:val="tx1"/>
            </w14:solidFill>
          </w14:textFill>
        </w:rPr>
      </w:pPr>
      <w:r>
        <w:rPr>
          <w:rFonts w:hint="eastAsia" w:ascii="方正仿宋简体" w:hAnsi="宋体" w:eastAsia="方正仿宋简体" w:cs="宋体"/>
          <w:color w:val="000000" w:themeColor="text1"/>
          <w:sz w:val="32"/>
          <w:szCs w:val="32"/>
          <w:lang w:val="en-US" w:eastAsia="zh-CN"/>
          <w14:textFill>
            <w14:solidFill>
              <w14:schemeClr w14:val="tx1"/>
            </w14:solidFill>
          </w14:textFill>
        </w:rPr>
        <w:t xml:space="preserve">北海艺术设计学院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right"/>
        <w:textAlignment w:val="auto"/>
        <w:outlineLvl w:val="9"/>
        <w:rPr>
          <w:rFonts w:hint="eastAsia" w:ascii="方正仿宋简体" w:hAnsi="宋体" w:eastAsia="方正仿宋简体" w:cs="宋体"/>
          <w:color w:val="auto"/>
          <w:sz w:val="32"/>
          <w:szCs w:val="32"/>
        </w:rPr>
      </w:pPr>
      <w:r>
        <w:rPr>
          <w:rFonts w:hint="eastAsia" w:ascii="方正仿宋简体" w:hAnsi="宋体" w:eastAsia="方正仿宋简体" w:cs="宋体"/>
          <w:color w:val="auto"/>
          <w:sz w:val="32"/>
          <w:szCs w:val="32"/>
          <w:lang w:val="en-US" w:eastAsia="zh-CN"/>
        </w:rPr>
        <w:t xml:space="preserve">2021年9月7日    </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简体" w:hAnsi="方正仿宋简体" w:eastAsia="方正仿宋简体" w:cs="方正仿宋简体"/>
          <w:bCs/>
          <w:kern w:val="0"/>
          <w:sz w:val="32"/>
          <w:szCs w:val="32"/>
          <w:lang w:eastAsia="zh-CN"/>
        </w:rPr>
      </w:pPr>
      <w:r>
        <w:rPr>
          <w:rFonts w:hint="eastAsia" w:ascii="方正仿宋简体" w:hAnsi="方正仿宋简体" w:eastAsia="方正仿宋简体" w:cs="方正仿宋简体"/>
          <w:bCs/>
          <w:kern w:val="0"/>
          <w:sz w:val="32"/>
          <w:szCs w:val="32"/>
          <w:lang w:eastAsia="zh-CN"/>
        </w:rPr>
        <w:br w:type="page"/>
      </w:r>
    </w:p>
    <w:p>
      <w:pPr>
        <w:keepNext w:val="0"/>
        <w:keepLines w:val="0"/>
        <w:pageBreakBefore w:val="0"/>
        <w:kinsoku/>
        <w:wordWrap/>
        <w:overflowPunct/>
        <w:topLinePunct w:val="0"/>
        <w:autoSpaceDE/>
        <w:autoSpaceDN/>
        <w:bidi w:val="0"/>
        <w:adjustRightInd/>
        <w:snapToGrid/>
        <w:spacing w:before="156" w:beforeLines="50" w:after="156" w:afterLines="50" w:line="570" w:lineRule="exact"/>
        <w:jc w:val="center"/>
        <w:textAlignment w:val="auto"/>
        <w:outlineLvl w:val="1"/>
        <w:rPr>
          <w:rFonts w:ascii="方正仿宋简体" w:hAnsi="方正仿宋简体" w:eastAsia="方正小标宋简体" w:cs="方正仿宋简体"/>
          <w:sz w:val="44"/>
          <w:szCs w:val="44"/>
        </w:rPr>
      </w:pPr>
      <w:r>
        <w:rPr>
          <w:rFonts w:hint="eastAsia" w:ascii="方正小标宋简体" w:hAnsi="方正小标宋简体" w:eastAsia="方正小标宋简体" w:cs="方正小标宋简体"/>
          <w:sz w:val="44"/>
          <w:szCs w:val="44"/>
        </w:rPr>
        <w:t>北海艺术设计学院一流课程建设方案</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仿宋简体" w:hAnsi="方正仿宋简体" w:eastAsia="方正仿宋简体" w:cs="方正仿宋简体"/>
          <w:sz w:val="32"/>
          <w:szCs w:val="32"/>
        </w:rPr>
      </w:pP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方正仿宋简体" w:hAnsi="方正仿宋简体" w:eastAsia="方正仿宋简体" w:cs="方正仿宋简体"/>
          <w:kern w:val="0"/>
          <w:sz w:val="32"/>
          <w:szCs w:val="32"/>
          <w:lang w:bidi="ar"/>
        </w:rPr>
        <w:t>为深入</w:t>
      </w:r>
      <w:r>
        <w:rPr>
          <w:rFonts w:hint="eastAsia" w:ascii="方正仿宋简体" w:hAnsi="方正仿宋简体" w:eastAsia="方正仿宋简体" w:cs="方正仿宋简体"/>
          <w:sz w:val="32"/>
          <w:szCs w:val="32"/>
        </w:rPr>
        <w:t>推进学校一流课程建设，提高本科人才培养质量，</w:t>
      </w:r>
      <w:r>
        <w:rPr>
          <w:rFonts w:hint="eastAsia" w:ascii="方正仿宋简体" w:hAnsi="方正仿宋简体" w:eastAsia="方正仿宋简体" w:cs="方正仿宋简体"/>
          <w:kern w:val="0"/>
          <w:sz w:val="32"/>
          <w:szCs w:val="32"/>
          <w:lang w:bidi="ar"/>
        </w:rPr>
        <w:t>依据《教育部关于加快建设高水平本科教育全面提高人才培养能力的意见》（教高〔2018〕2号）、</w:t>
      </w:r>
      <w:r>
        <w:rPr>
          <w:rFonts w:hint="eastAsia" w:ascii="方正仿宋简体" w:hAnsi="方正仿宋简体" w:eastAsia="方正仿宋简体" w:cs="方正仿宋简体"/>
          <w:sz w:val="32"/>
          <w:szCs w:val="32"/>
        </w:rPr>
        <w:t>《教育部关于深化本科教育教学改革全面提高人才培养质量的意见》（教高〔2019〕6号）、《教育部办公厅关于实施一流本科专业建设“双万计划”的通知》（教高厅函〔2019〕18号）、</w:t>
      </w:r>
      <w:r>
        <w:rPr>
          <w:rFonts w:hint="eastAsia" w:ascii="方正仿宋简体" w:hAnsi="方正仿宋简体" w:eastAsia="方正仿宋简体" w:cs="方正仿宋简体"/>
          <w:kern w:val="0"/>
          <w:sz w:val="32"/>
          <w:szCs w:val="32"/>
          <w:lang w:bidi="ar"/>
        </w:rPr>
        <w:t>《教育部关于一流本科课程建设的实施意见》（教高〔2019〕8号）等文件精神，结合学校实际，特制定本方案。</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黑体" w:hAnsi="黑体" w:eastAsia="黑体" w:cs="黑体"/>
          <w:sz w:val="32"/>
          <w:szCs w:val="32"/>
        </w:rPr>
      </w:pPr>
      <w:bookmarkStart w:id="5" w:name="_Toc29531"/>
      <w:r>
        <w:rPr>
          <w:rFonts w:hint="eastAsia" w:ascii="黑体" w:hAnsi="黑体" w:eastAsia="黑体" w:cs="黑体"/>
          <w:sz w:val="32"/>
          <w:szCs w:val="32"/>
        </w:rPr>
        <w:t>一、指导思想</w:t>
      </w:r>
      <w:bookmarkEnd w:id="5"/>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高举中国特色社会主义伟大旗帜，以习近平新时代中国特色社会主义思想为指导，全面贯彻党的教育方针，坚持社会主义办学方向。积极响应教育部一流课程建设“双万计划”，以支撑创新驱动发展战略、服务文化艺术行业经济社会发展需求为导向，以教育教学综合改革为契机，牢牢抓住全面提高人才培养能力这个核心点，进一步转变建设理念，创新体制机制，建成具有高阶性、创新性、挑战度的一流本科课程体系。</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黑体" w:hAnsi="黑体" w:eastAsia="黑体" w:cs="黑体"/>
          <w:sz w:val="32"/>
          <w:szCs w:val="32"/>
        </w:rPr>
      </w:pPr>
      <w:bookmarkStart w:id="6" w:name="_Toc30700"/>
      <w:r>
        <w:rPr>
          <w:rFonts w:hint="eastAsia" w:ascii="黑体" w:hAnsi="黑体" w:eastAsia="黑体" w:cs="黑体"/>
          <w:sz w:val="32"/>
          <w:szCs w:val="32"/>
        </w:rPr>
        <w:t>二、基本原则</w:t>
      </w:r>
      <w:bookmarkEnd w:id="6"/>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7" w:name="_Toc3839"/>
      <w:r>
        <w:rPr>
          <w:rFonts w:hint="eastAsia" w:ascii="楷体" w:hAnsi="楷体" w:eastAsia="楷体" w:cs="楷体"/>
          <w:kern w:val="0"/>
          <w:sz w:val="32"/>
          <w:szCs w:val="32"/>
        </w:rPr>
        <w:t>（一）坚持扶强扶特</w:t>
      </w:r>
      <w:bookmarkEnd w:id="7"/>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以“一流”专业和特色专业及实验实训教学基地（中心）建设项目为引领示范，重点打造一批高水平课程，为卓越拔尖人才培养提供有力支撑。重点支持已有建设基础、取得明显教学成效的课程，让优的更优、强的更强。重点支持建设具有行业特色的课程，丰富一流本科课程体系。</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8" w:name="_Toc20195"/>
      <w:r>
        <w:rPr>
          <w:rFonts w:hint="eastAsia" w:ascii="楷体" w:hAnsi="楷体" w:eastAsia="楷体" w:cs="楷体"/>
          <w:kern w:val="0"/>
          <w:sz w:val="32"/>
          <w:szCs w:val="32"/>
        </w:rPr>
        <w:t>（二）提升高阶性</w:t>
      </w:r>
      <w:bookmarkEnd w:id="8"/>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一流课程目标坚持知识、能力、素质有机融合，培养学生解决复杂问题的综合能力和创新思维。课程内容强调广度、深度和广度，突破习惯性认知模式，培养学生高度站位、广度比较、深度分析、大胆质疑、勇于创新的精神和能力。</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9" w:name="_Toc26000"/>
      <w:r>
        <w:rPr>
          <w:rFonts w:hint="eastAsia" w:ascii="楷体" w:hAnsi="楷体" w:eastAsia="楷体" w:cs="楷体"/>
          <w:kern w:val="0"/>
          <w:sz w:val="32"/>
          <w:szCs w:val="32"/>
        </w:rPr>
        <w:t>（三）突出创新性</w:t>
      </w:r>
      <w:bookmarkEnd w:id="9"/>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教学内容体现前沿性与时代性，主动适应新技术、新产业、新业态、新模式的发展，及时将学术研究、科技发展前沿成果引入课程。教学方法体现先进性与互动性，大力推进教学与科研、现代信息技术与教学深度融合，积极引导学生进行探究式与个性化学习。</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10" w:name="_Toc11635"/>
      <w:r>
        <w:rPr>
          <w:rFonts w:hint="eastAsia" w:ascii="楷体" w:hAnsi="楷体" w:eastAsia="楷体" w:cs="楷体"/>
          <w:kern w:val="0"/>
          <w:sz w:val="32"/>
          <w:szCs w:val="32"/>
        </w:rPr>
        <w:t>（四）增加挑战度</w:t>
      </w:r>
      <w:bookmarkEnd w:id="10"/>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一流课程设计适度增加研究性、创新性、综合性内容，加大学生学习投入，科学“增负”，让学生体验“跳一跳才能够得着”的学习挑战。改革考核考试评价，增强学生经过刻苦学习收获知识增长、能力和素质提高的成就感。</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11" w:name="_Toc17718"/>
      <w:r>
        <w:rPr>
          <w:rFonts w:hint="eastAsia" w:ascii="楷体" w:hAnsi="楷体" w:eastAsia="楷体" w:cs="楷体"/>
          <w:kern w:val="0"/>
          <w:sz w:val="32"/>
          <w:szCs w:val="32"/>
        </w:rPr>
        <w:t>（五）坚持产出导向</w:t>
      </w:r>
      <w:bookmarkEnd w:id="11"/>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围绕教学有效性、学习者参与度以及教育技术融合等主题，对标教育部本科专业类教学质量国家标准、课程标准，推进课程内容更新和课堂革命，建立学生中心、产出导向、持续改进、注重学习过程与结果有机统一的课程建设机制，为学生提供一流水准的优质课程教育资源和高质量的课程教学产出。</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黑体" w:hAnsi="黑体" w:eastAsia="黑体" w:cs="黑体"/>
          <w:sz w:val="32"/>
          <w:szCs w:val="32"/>
        </w:rPr>
      </w:pPr>
      <w:bookmarkStart w:id="12" w:name="_Toc13841"/>
      <w:r>
        <w:rPr>
          <w:rFonts w:hint="eastAsia" w:ascii="黑体" w:hAnsi="黑体" w:eastAsia="黑体" w:cs="黑体"/>
          <w:sz w:val="32"/>
          <w:szCs w:val="32"/>
        </w:rPr>
        <w:t>三、课程建设目标及任务</w:t>
      </w:r>
      <w:bookmarkEnd w:id="12"/>
    </w:p>
    <w:p>
      <w:pPr>
        <w:widowControl/>
        <w:spacing w:line="570" w:lineRule="exact"/>
        <w:ind w:firstLine="640" w:firstLineChars="200"/>
        <w:rPr>
          <w:rFonts w:ascii="方正仿宋简体" w:hAnsi="方正仿宋简体" w:eastAsia="方正仿宋简体" w:cs="方正仿宋简体"/>
          <w:color w:val="auto"/>
          <w:kern w:val="0"/>
          <w:sz w:val="32"/>
          <w:szCs w:val="32"/>
          <w:lang w:bidi="ar"/>
        </w:rPr>
      </w:pPr>
      <w:r>
        <w:rPr>
          <w:rFonts w:hint="eastAsia" w:ascii="方正仿宋简体" w:hAnsi="方正仿宋简体" w:eastAsia="方正仿宋简体" w:cs="方正仿宋简体"/>
          <w:kern w:val="0"/>
          <w:sz w:val="32"/>
          <w:szCs w:val="32"/>
          <w:lang w:bidi="ar"/>
        </w:rPr>
        <w:t>根据教育部和自治区教育厅的一流本科教育工作部署和学校一流课程建设规划，积极开展校级一流课程建设，建成线上（包括MOOC和SPOC课程）、线下（即传统面授的课堂教学课程）、线上线下混合式（即面授教学与网络教学进行有机结合的课程）、虚拟仿真（即基于“智能+教育”，把信息技术、智能技术与实验教学深度融合的虚拟仿真实验教学项目）、社会实践（与“青年红色筑梦之旅”和中国“互联网+”大学生</w:t>
      </w:r>
      <w:r>
        <w:rPr>
          <w:rFonts w:hint="eastAsia" w:ascii="方正仿宋简体" w:hAnsi="方正仿宋简体" w:eastAsia="方正仿宋简体" w:cs="方正仿宋简体"/>
          <w:color w:val="auto"/>
          <w:kern w:val="0"/>
          <w:sz w:val="32"/>
          <w:szCs w:val="32"/>
          <w:lang w:bidi="ar"/>
        </w:rPr>
        <w:t>创新创业大赛相关的创新创业技能和社会实践类课程）等五类一流课程</w:t>
      </w:r>
      <w:r>
        <w:rPr>
          <w:rFonts w:hint="eastAsia" w:ascii="方正仿宋简体" w:hAnsi="方正仿宋简体" w:eastAsia="方正仿宋简体" w:cs="方正仿宋简体"/>
          <w:color w:val="auto"/>
          <w:kern w:val="0"/>
          <w:sz w:val="32"/>
          <w:szCs w:val="32"/>
          <w:u w:val="none"/>
          <w:lang w:bidi="ar"/>
        </w:rPr>
        <w:t>共计</w:t>
      </w:r>
      <w:r>
        <w:rPr>
          <w:rFonts w:ascii="方正仿宋简体" w:hAnsi="方正仿宋简体" w:eastAsia="方正仿宋简体" w:cs="方正仿宋简体"/>
          <w:color w:val="auto"/>
          <w:kern w:val="0"/>
          <w:sz w:val="32"/>
          <w:szCs w:val="32"/>
          <w:u w:val="none"/>
          <w:lang w:bidi="ar"/>
        </w:rPr>
        <w:t>50</w:t>
      </w:r>
      <w:r>
        <w:rPr>
          <w:rFonts w:hint="eastAsia" w:ascii="方正仿宋简体" w:hAnsi="方正仿宋简体" w:eastAsia="方正仿宋简体" w:cs="方正仿宋简体"/>
          <w:color w:val="auto"/>
          <w:kern w:val="0"/>
          <w:sz w:val="32"/>
          <w:szCs w:val="32"/>
          <w:u w:val="none"/>
          <w:lang w:bidi="ar"/>
        </w:rPr>
        <w:t>门</w:t>
      </w:r>
      <w:r>
        <w:rPr>
          <w:rFonts w:hint="eastAsia" w:ascii="方正仿宋简体" w:hAnsi="方正仿宋简体" w:eastAsia="方正仿宋简体" w:cs="方正仿宋简体"/>
          <w:color w:val="auto"/>
          <w:kern w:val="0"/>
          <w:sz w:val="32"/>
          <w:szCs w:val="32"/>
          <w:lang w:bidi="ar"/>
        </w:rPr>
        <w:t>，推动学校人才培养的课程“质量革命”，争取一批课程进入省级和国家级一流本科课程行列。</w:t>
      </w:r>
    </w:p>
    <w:p>
      <w:pPr>
        <w:widowControl/>
        <w:spacing w:line="570" w:lineRule="exact"/>
        <w:ind w:firstLine="640" w:firstLineChars="200"/>
        <w:rPr>
          <w:rFonts w:hint="eastAsia" w:ascii="方正仿宋简体" w:hAnsi="方正仿宋简体" w:eastAsia="方正仿宋简体" w:cs="方正仿宋简体"/>
          <w:color w:val="auto"/>
          <w:kern w:val="0"/>
          <w:sz w:val="32"/>
          <w:szCs w:val="32"/>
          <w:lang w:bidi="ar"/>
        </w:rPr>
      </w:pPr>
      <w:r>
        <w:rPr>
          <w:rFonts w:hint="eastAsia" w:ascii="方正仿宋简体" w:hAnsi="方正仿宋简体" w:eastAsia="方正仿宋简体" w:cs="方正仿宋简体"/>
          <w:color w:val="auto"/>
          <w:kern w:val="0"/>
          <w:sz w:val="32"/>
          <w:szCs w:val="32"/>
          <w:lang w:bidi="ar"/>
        </w:rPr>
        <w:t>根据学校一流课程建设五年行动计划要求，到2025年，计划立项建设线上、线下、线上线下混合式、虚拟仿真和社会实践五大类型一流课程，共计</w:t>
      </w:r>
      <w:r>
        <w:rPr>
          <w:rFonts w:ascii="方正仿宋简体" w:hAnsi="方正仿宋简体" w:eastAsia="方正仿宋简体" w:cs="方正仿宋简体"/>
          <w:color w:val="auto"/>
          <w:kern w:val="0"/>
          <w:sz w:val="32"/>
          <w:szCs w:val="32"/>
          <w:lang w:bidi="ar"/>
        </w:rPr>
        <w:t>50</w:t>
      </w:r>
      <w:r>
        <w:rPr>
          <w:rFonts w:hint="eastAsia" w:ascii="方正仿宋简体" w:hAnsi="方正仿宋简体" w:eastAsia="方正仿宋简体" w:cs="方正仿宋简体"/>
          <w:color w:val="auto"/>
          <w:kern w:val="0"/>
          <w:sz w:val="32"/>
          <w:szCs w:val="32"/>
          <w:lang w:bidi="ar"/>
        </w:rPr>
        <w:t>门。</w:t>
      </w:r>
      <w:r>
        <w:rPr>
          <w:rFonts w:hint="eastAsia" w:ascii="方正仿宋简体" w:hAnsi="方正仿宋简体" w:eastAsia="方正仿宋简体" w:cs="方正仿宋简体"/>
          <w:color w:val="auto"/>
          <w:kern w:val="0"/>
          <w:sz w:val="32"/>
          <w:szCs w:val="32"/>
          <w:u w:val="none"/>
          <w:lang w:bidi="ar"/>
        </w:rPr>
        <w:t>其中，线上一流课程</w:t>
      </w:r>
      <w:r>
        <w:rPr>
          <w:rFonts w:ascii="方正仿宋简体" w:hAnsi="方正仿宋简体" w:eastAsia="方正仿宋简体" w:cs="方正仿宋简体"/>
          <w:color w:val="auto"/>
          <w:kern w:val="0"/>
          <w:sz w:val="32"/>
          <w:szCs w:val="32"/>
          <w:u w:val="none"/>
          <w:lang w:bidi="ar"/>
        </w:rPr>
        <w:t>10</w:t>
      </w:r>
      <w:r>
        <w:rPr>
          <w:rFonts w:hint="eastAsia" w:ascii="方正仿宋简体" w:hAnsi="方正仿宋简体" w:eastAsia="方正仿宋简体" w:cs="方正仿宋简体"/>
          <w:color w:val="auto"/>
          <w:kern w:val="0"/>
          <w:sz w:val="32"/>
          <w:szCs w:val="32"/>
          <w:u w:val="none"/>
          <w:lang w:bidi="ar"/>
        </w:rPr>
        <w:t>门，线下一流课程</w:t>
      </w:r>
      <w:r>
        <w:rPr>
          <w:rFonts w:ascii="方正仿宋简体" w:hAnsi="方正仿宋简体" w:eastAsia="方正仿宋简体" w:cs="方正仿宋简体"/>
          <w:color w:val="auto"/>
          <w:kern w:val="0"/>
          <w:sz w:val="32"/>
          <w:szCs w:val="32"/>
          <w:u w:val="none"/>
          <w:lang w:bidi="ar"/>
        </w:rPr>
        <w:t>2</w:t>
      </w:r>
      <w:r>
        <w:rPr>
          <w:rFonts w:hint="eastAsia" w:ascii="方正仿宋简体" w:hAnsi="方正仿宋简体" w:eastAsia="方正仿宋简体" w:cs="方正仿宋简体"/>
          <w:color w:val="auto"/>
          <w:kern w:val="0"/>
          <w:sz w:val="32"/>
          <w:szCs w:val="32"/>
          <w:u w:val="none"/>
          <w:lang w:bidi="ar"/>
        </w:rPr>
        <w:t>0门，线上线下混合式一流课程</w:t>
      </w:r>
      <w:r>
        <w:rPr>
          <w:rFonts w:ascii="方正仿宋简体" w:hAnsi="方正仿宋简体" w:eastAsia="方正仿宋简体" w:cs="方正仿宋简体"/>
          <w:color w:val="auto"/>
          <w:kern w:val="0"/>
          <w:sz w:val="32"/>
          <w:szCs w:val="32"/>
          <w:u w:val="none"/>
          <w:lang w:bidi="ar"/>
        </w:rPr>
        <w:t>2</w:t>
      </w:r>
      <w:r>
        <w:rPr>
          <w:rFonts w:hint="eastAsia" w:ascii="方正仿宋简体" w:hAnsi="方正仿宋简体" w:eastAsia="方正仿宋简体" w:cs="方正仿宋简体"/>
          <w:color w:val="auto"/>
          <w:kern w:val="0"/>
          <w:sz w:val="32"/>
          <w:szCs w:val="32"/>
          <w:u w:val="none"/>
          <w:lang w:bidi="ar"/>
        </w:rPr>
        <w:t>0门，虚拟仿真一流课程</w:t>
      </w:r>
      <w:r>
        <w:rPr>
          <w:rFonts w:ascii="方正仿宋简体" w:hAnsi="方正仿宋简体" w:eastAsia="方正仿宋简体" w:cs="方正仿宋简体"/>
          <w:color w:val="auto"/>
          <w:kern w:val="0"/>
          <w:sz w:val="32"/>
          <w:szCs w:val="32"/>
          <w:u w:val="none"/>
          <w:lang w:bidi="ar"/>
        </w:rPr>
        <w:t>5</w:t>
      </w:r>
      <w:r>
        <w:rPr>
          <w:rFonts w:hint="eastAsia" w:ascii="方正仿宋简体" w:hAnsi="方正仿宋简体" w:eastAsia="方正仿宋简体" w:cs="方正仿宋简体"/>
          <w:color w:val="auto"/>
          <w:kern w:val="0"/>
          <w:sz w:val="32"/>
          <w:szCs w:val="32"/>
          <w:u w:val="none"/>
          <w:lang w:bidi="ar"/>
        </w:rPr>
        <w:t>门，社会实践一流课程</w:t>
      </w:r>
      <w:r>
        <w:rPr>
          <w:rFonts w:ascii="方正仿宋简体" w:hAnsi="方正仿宋简体" w:eastAsia="方正仿宋简体" w:cs="方正仿宋简体"/>
          <w:color w:val="auto"/>
          <w:kern w:val="0"/>
          <w:sz w:val="32"/>
          <w:szCs w:val="32"/>
          <w:u w:val="none"/>
          <w:lang w:bidi="ar"/>
        </w:rPr>
        <w:t>5</w:t>
      </w:r>
      <w:r>
        <w:rPr>
          <w:rFonts w:hint="eastAsia" w:ascii="方正仿宋简体" w:hAnsi="方正仿宋简体" w:eastAsia="方正仿宋简体" w:cs="方正仿宋简体"/>
          <w:color w:val="auto"/>
          <w:kern w:val="0"/>
          <w:sz w:val="32"/>
          <w:szCs w:val="32"/>
          <w:u w:val="none"/>
          <w:lang w:bidi="ar"/>
        </w:rPr>
        <w:t>门。</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黑体" w:hAnsi="黑体" w:eastAsia="黑体" w:cs="黑体"/>
          <w:sz w:val="32"/>
          <w:szCs w:val="32"/>
        </w:rPr>
      </w:pPr>
      <w:bookmarkStart w:id="13" w:name="_Toc26567"/>
      <w:r>
        <w:rPr>
          <w:rFonts w:hint="eastAsia" w:ascii="黑体" w:hAnsi="黑体" w:eastAsia="黑体" w:cs="黑体"/>
          <w:sz w:val="32"/>
          <w:szCs w:val="32"/>
        </w:rPr>
        <w:t>四、申报条件</w:t>
      </w:r>
      <w:bookmarkEnd w:id="13"/>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课程至少须经过两个学期或两个教学周期的建设和完善，取得实质性改革成效，在同类课程中具有鲜明特色、良好的教学效果，并承诺入选后将持续推进。符合课程类型基本形态和特殊要求的同时，在以下多个方面具备实质性创新，有较大的借鉴和推广价值。</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14" w:name="_Toc32707"/>
      <w:r>
        <w:rPr>
          <w:rFonts w:hint="eastAsia" w:ascii="楷体" w:hAnsi="楷体" w:eastAsia="楷体" w:cs="楷体"/>
          <w:kern w:val="0"/>
          <w:sz w:val="32"/>
          <w:szCs w:val="32"/>
        </w:rPr>
        <w:t>（一）教学理念先进</w:t>
      </w:r>
      <w:bookmarkEnd w:id="14"/>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坚持立德树人，体现以学生发展为中心，致力于开启学生内在潜力和学习动力，注重学生德智体美劳全面发展。</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15" w:name="_Toc17059"/>
      <w:r>
        <w:rPr>
          <w:rFonts w:hint="eastAsia" w:ascii="楷体" w:hAnsi="楷体" w:eastAsia="楷体" w:cs="楷体"/>
          <w:kern w:val="0"/>
          <w:sz w:val="32"/>
          <w:szCs w:val="32"/>
        </w:rPr>
        <w:t>（二）课程教学团队教学成果显著</w:t>
      </w:r>
      <w:bookmarkEnd w:id="15"/>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课程负责人须为学校正式聘用的教师。课程团队教学改革意识强烈、理念先进，人员结构及任务分工合理。主讲教师具备良好的师德师风，具有丰富的教学经验﹑较高学术造诣，积极投身教学改革，教学能力强，能够运用新技术提高教学效率、提升教学质量。</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16" w:name="_Toc25337"/>
      <w:r>
        <w:rPr>
          <w:rFonts w:hint="eastAsia" w:ascii="楷体" w:hAnsi="楷体" w:eastAsia="楷体" w:cs="楷体"/>
          <w:kern w:val="0"/>
          <w:sz w:val="32"/>
          <w:szCs w:val="32"/>
        </w:rPr>
        <w:t>（三）课程目标有效支撑培养目标达成</w:t>
      </w:r>
      <w:bookmarkEnd w:id="16"/>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课程目标符合学校办学定位和人才培养目标，注重知识和能力双重培养。</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17" w:name="_Toc27334"/>
      <w:r>
        <w:rPr>
          <w:rFonts w:hint="eastAsia" w:ascii="楷体" w:hAnsi="楷体" w:eastAsia="楷体" w:cs="楷体"/>
          <w:kern w:val="0"/>
          <w:sz w:val="32"/>
          <w:szCs w:val="32"/>
        </w:rPr>
        <w:t>（四）课程教学设计科学合理</w:t>
      </w:r>
      <w:bookmarkEnd w:id="17"/>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围绕目标达成、教学内容、组织实施和多元评价需求进行整体规划，教学策略、教学方法、教学过程、教学评价等设计合理。</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18" w:name="_Toc28127"/>
      <w:r>
        <w:rPr>
          <w:rFonts w:hint="eastAsia" w:ascii="楷体" w:hAnsi="楷体" w:eastAsia="楷体" w:cs="楷体"/>
          <w:kern w:val="0"/>
          <w:sz w:val="32"/>
          <w:szCs w:val="32"/>
        </w:rPr>
        <w:t>（五）课程内容与资源与时俱进</w:t>
      </w:r>
      <w:bookmarkEnd w:id="18"/>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课程内容结构符合学生发展规律与时代需求，依据学科前沿动态与社会发展需求动态更新知识体系，契合课程目标，教材选用符合教育部和学校教材选用规定，教学资源丰富多样，体现思想性、科学性和时代性。</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19" w:name="_Toc22089"/>
      <w:r>
        <w:rPr>
          <w:rFonts w:hint="eastAsia" w:ascii="楷体" w:hAnsi="楷体" w:eastAsia="楷体" w:cs="楷体"/>
          <w:kern w:val="0"/>
          <w:sz w:val="32"/>
          <w:szCs w:val="32"/>
        </w:rPr>
        <w:t>（六）教学组织与实施突出学生中心地位</w:t>
      </w:r>
      <w:bookmarkEnd w:id="19"/>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根据学生认知规律和接受特点，创新教与学模式，因材施教，促进师生之间、学生之间的交流互动、资源共享、知识生成，教学反馈及时，教学效果显著。</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20" w:name="_Toc17502"/>
      <w:r>
        <w:rPr>
          <w:rFonts w:hint="eastAsia" w:ascii="楷体" w:hAnsi="楷体" w:eastAsia="楷体" w:cs="楷体"/>
          <w:kern w:val="0"/>
          <w:sz w:val="32"/>
          <w:szCs w:val="32"/>
        </w:rPr>
        <w:t>（七）课程管理与评价可测量</w:t>
      </w:r>
      <w:bookmarkEnd w:id="20"/>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color w:val="FF0000"/>
          <w:kern w:val="0"/>
          <w:sz w:val="32"/>
          <w:szCs w:val="32"/>
          <w:lang w:bidi="ar"/>
        </w:rPr>
      </w:pPr>
      <w:r>
        <w:rPr>
          <w:rFonts w:hint="eastAsia" w:ascii="方正仿宋简体" w:hAnsi="方正仿宋简体" w:eastAsia="方正仿宋简体" w:cs="方正仿宋简体"/>
          <w:kern w:val="0"/>
          <w:sz w:val="32"/>
          <w:szCs w:val="32"/>
          <w:lang w:bidi="ar"/>
        </w:rPr>
        <w:t>教师备课要求明确，学生学习管理严格。针对教学目标、教学内容、教学组织等采用多元化考核评价，过程可回溯，诊断改进积极有效。教学过程材料完整，可借鉴可监督。</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黑体" w:hAnsi="黑体" w:eastAsia="黑体" w:cs="黑体"/>
          <w:color w:val="auto"/>
          <w:sz w:val="32"/>
          <w:szCs w:val="32"/>
        </w:rPr>
      </w:pPr>
      <w:bookmarkStart w:id="21" w:name="_Toc4407"/>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、申报和认定程序</w:t>
      </w:r>
      <w:bookmarkEnd w:id="21"/>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根据上级部门的工作安排，教务处负责组织各类一流课程建设的申报工作。</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22" w:name="_Toc17637"/>
      <w:r>
        <w:rPr>
          <w:rFonts w:hint="eastAsia" w:ascii="楷体" w:hAnsi="楷体" w:eastAsia="楷体" w:cs="楷体"/>
          <w:kern w:val="0"/>
          <w:sz w:val="32"/>
          <w:szCs w:val="32"/>
        </w:rPr>
        <w:t>（一）遴选推荐申报项目</w:t>
      </w:r>
      <w:bookmarkEnd w:id="22"/>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二级学院（部）根据学校的通知要求组织本单位的遴选工作，并向学校推荐。</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23" w:name="_Toc6359"/>
      <w:r>
        <w:rPr>
          <w:rFonts w:hint="eastAsia" w:ascii="楷体" w:hAnsi="楷体" w:eastAsia="楷体" w:cs="楷体"/>
          <w:kern w:val="0"/>
          <w:sz w:val="32"/>
          <w:szCs w:val="32"/>
        </w:rPr>
        <w:t>（二）评审立项</w:t>
      </w:r>
      <w:bookmarkEnd w:id="23"/>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教务处组织专家对各单位推荐申报的课程进行评审，将评审结果报学校领导批准进行立项公布，一流课程建设周期一般为2年。根据提升课程的“两性一度”的要求，采用新理念、新内容、新方法、新技术等进行翻转式、混合式等课堂教学改革研究与实践，并不断总结提炼研究与实践成果。</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24" w:name="_Toc29116"/>
      <w:r>
        <w:rPr>
          <w:rFonts w:hint="eastAsia" w:ascii="楷体" w:hAnsi="楷体" w:eastAsia="楷体" w:cs="楷体"/>
          <w:kern w:val="0"/>
          <w:sz w:val="32"/>
          <w:szCs w:val="32"/>
        </w:rPr>
        <w:t>（三）结题验收</w:t>
      </w:r>
      <w:bookmarkEnd w:id="24"/>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完成课程建设任务，学校根据相关的要求进行结题验收，基本条件包括：</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1.完成立项通知中的条件要求；</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2.结题验收申请书；</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3.至少完成一个完整的教学周期，包括但不限于视频、课件、测验题、讨论等课程资源使用情况和课程运行的相关数据统计结果。如需获得校级教改项目结题证书，还需按校级教改项目结题通知要求提交相关材料，主要包括：结题申报书；课程改革实施方案（3000字以上）；课程教学改革研究与实践成果，包括发表的相关论文、教改总结报告（5000字左右）；实践成果包括但不限于视频、课件、测验题、讨论等课程资源和课程运行的相关数据统计结果。</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25" w:name="_Toc17358"/>
      <w:r>
        <w:rPr>
          <w:rFonts w:hint="eastAsia" w:ascii="楷体" w:hAnsi="楷体" w:eastAsia="楷体" w:cs="楷体"/>
          <w:kern w:val="0"/>
          <w:sz w:val="32"/>
          <w:szCs w:val="32"/>
        </w:rPr>
        <w:t>（四）评选认定校级一流课程</w:t>
      </w:r>
      <w:bookmarkEnd w:id="25"/>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学校组织专家通过听课评课、查阅在线课程网站、现场说课、回答专家提问等方式，依据评定标准（详见附件）评选出各类型校级一流课程，学校发文公布结果并颁发证书。</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26" w:name="_Toc26242"/>
      <w:r>
        <w:rPr>
          <w:rFonts w:hint="eastAsia" w:ascii="楷体" w:hAnsi="楷体" w:eastAsia="楷体" w:cs="楷体"/>
          <w:kern w:val="0"/>
          <w:sz w:val="32"/>
          <w:szCs w:val="32"/>
        </w:rPr>
        <w:t>（五）推荐申报自治区、国家一流课程</w:t>
      </w:r>
      <w:bookmarkEnd w:id="26"/>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符合条件的课程优先推荐申报省级一流课程和教育部一流课程“双万计划”。</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黑体" w:hAnsi="黑体" w:eastAsia="黑体" w:cs="黑体"/>
          <w:color w:val="auto"/>
          <w:sz w:val="32"/>
          <w:szCs w:val="32"/>
        </w:rPr>
      </w:pPr>
      <w:bookmarkStart w:id="27" w:name="_Toc26138"/>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、组织保障</w:t>
      </w:r>
      <w:bookmarkEnd w:id="27"/>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28" w:name="_Toc22763"/>
      <w:r>
        <w:rPr>
          <w:rFonts w:hint="eastAsia" w:ascii="楷体" w:hAnsi="楷体" w:eastAsia="楷体" w:cs="楷体"/>
          <w:kern w:val="0"/>
          <w:sz w:val="32"/>
          <w:szCs w:val="32"/>
        </w:rPr>
        <w:t>（一）完善管理机制</w:t>
      </w:r>
      <w:bookmarkEnd w:id="28"/>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由教务处负责对接教育部一流课程建设“双万计划”，统筹学校一流课程建设组织实施工作，将一流课程建设纳入教学单位考核范畴，指导各有关单位落实有关文件要求，推进国家、广西、学校三级实施体系有效衔接。</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教务处对于一流课程的管理主要包括：搜集整理有关信息，及时向全校发布；负责一流课程的立项、申报、检查、结题评审、鉴定等相关工作；配合教学指导委员会组织一流课程的验收等工作；配合财务处做好经费管理等。各二级学院、部门对本单位一流课程建设负有管理责任。</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楷体" w:hAnsi="楷体" w:eastAsia="楷体" w:cs="楷体"/>
          <w:kern w:val="0"/>
          <w:sz w:val="32"/>
          <w:szCs w:val="32"/>
        </w:rPr>
      </w:pPr>
      <w:bookmarkStart w:id="29" w:name="_Toc29084"/>
      <w:r>
        <w:rPr>
          <w:rFonts w:hint="eastAsia" w:ascii="楷体" w:hAnsi="楷体" w:eastAsia="楷体" w:cs="楷体"/>
          <w:kern w:val="0"/>
          <w:sz w:val="32"/>
          <w:szCs w:val="32"/>
        </w:rPr>
        <w:t>（二）重视专业指导</w:t>
      </w:r>
      <w:bookmarkEnd w:id="29"/>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充分发挥学校教学指导委员会和学术委员会的作用，使之成为学校一流课程建设的参谋部、咨询团、指导组、推动队，抓好建设一流课程的工作。</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30" w:name="_Toc16968"/>
      <w:r>
        <w:rPr>
          <w:rFonts w:hint="eastAsia" w:ascii="楷体" w:hAnsi="楷体" w:eastAsia="楷体" w:cs="楷体"/>
          <w:kern w:val="0"/>
          <w:sz w:val="32"/>
          <w:szCs w:val="32"/>
        </w:rPr>
        <w:t>（三）强化动态调整</w:t>
      </w:r>
      <w:bookmarkEnd w:id="30"/>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一流课程团队应持续对课程内容进行更新完善，继续开展教学活动，原则上一流课程应根据所属类型继续提供教学服务不少于5年。教务处对一流课程的后续建设情况进行跟踪，对于未能继续开展教学活动和提供教学服务的一流课程，以及建设质量不达标、出现严重质量问题的课程，予以预警或撤销称号。因特殊原因（如教师不再任教该课程、新版人才培养方案无相应课程需更换其他课程，由线上课程转为建设线上线下混合式一流课程等），课程负责人对正在建设的课程有一次调整变更的机会，需履行调整变更手续。</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31" w:name="_Toc30073"/>
      <w:r>
        <w:rPr>
          <w:rFonts w:hint="eastAsia" w:ascii="楷体" w:hAnsi="楷体" w:eastAsia="楷体" w:cs="楷体"/>
          <w:kern w:val="0"/>
          <w:sz w:val="32"/>
          <w:szCs w:val="32"/>
        </w:rPr>
        <w:t>（四）完善经费保障</w:t>
      </w:r>
      <w:bookmarkEnd w:id="31"/>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学校依据《北海艺术设计学院一流课程建设经费使用及管理办法（试行）》等文件规定安排专项经费建设一流课程，加大对建设国家和广西本科高校一流课程的支持力度，为建设一流课程提供必要的保障。</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楷体" w:hAnsi="楷体" w:eastAsia="楷体" w:cs="楷体"/>
          <w:kern w:val="0"/>
          <w:sz w:val="32"/>
          <w:szCs w:val="32"/>
        </w:rPr>
      </w:pPr>
      <w:bookmarkStart w:id="32" w:name="_Toc19448"/>
      <w:r>
        <w:rPr>
          <w:rFonts w:hint="eastAsia" w:ascii="楷体" w:hAnsi="楷体" w:eastAsia="楷体" w:cs="楷体"/>
          <w:kern w:val="0"/>
          <w:sz w:val="32"/>
          <w:szCs w:val="32"/>
        </w:rPr>
        <w:t>（五）加强表彰奖励</w:t>
      </w:r>
      <w:bookmarkEnd w:id="32"/>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通过结题验收和获得各级课程荣誉称号的建设课程，学校将给予一定程度的奖励，并对其任课教师予以表彰，同时将一流课程认定情况作为教师职称评审、绩效考核、评优评先等方面的重要参考。学校对获奖教师在自治区级教学名师评选、自治区级教学改革项目立项等方面予以优先考虑。</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ascii="黑体" w:hAnsi="黑体" w:eastAsia="黑体" w:cs="黑体"/>
          <w:color w:val="auto"/>
          <w:sz w:val="32"/>
          <w:szCs w:val="32"/>
        </w:rPr>
      </w:pPr>
      <w:bookmarkStart w:id="33" w:name="_Toc6450"/>
      <w:r>
        <w:rPr>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、附则</w:t>
      </w:r>
      <w:bookmarkEnd w:id="33"/>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（一）本办法自印发之日起施行。</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（二）本办法由教务处负责解释，有关争议事项由学校教学指导委员会裁决。</w:t>
      </w: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kern w:val="0"/>
          <w:sz w:val="32"/>
          <w:szCs w:val="32"/>
          <w:lang w:bidi="ar"/>
        </w:rPr>
      </w:pPr>
    </w:p>
    <w:p>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t>附件：北海艺术设计学院一流课程评审指标</w:t>
      </w:r>
    </w:p>
    <w:p>
      <w:pPr>
        <w:rPr>
          <w:rFonts w:hint="eastAsia" w:ascii="方正仿宋简体" w:hAnsi="方正仿宋简体" w:eastAsia="方正仿宋简体" w:cs="方正仿宋简体"/>
          <w:kern w:val="0"/>
          <w:sz w:val="32"/>
          <w:szCs w:val="32"/>
          <w:lang w:bidi="ar"/>
        </w:rPr>
      </w:pPr>
      <w:r>
        <w:rPr>
          <w:rFonts w:hint="eastAsia" w:ascii="方正仿宋简体" w:hAnsi="方正仿宋简体" w:eastAsia="方正仿宋简体" w:cs="方正仿宋简体"/>
          <w:kern w:val="0"/>
          <w:sz w:val="32"/>
          <w:szCs w:val="32"/>
          <w:lang w:bidi="ar"/>
        </w:rPr>
        <w:br w:type="page"/>
      </w:r>
    </w:p>
    <w:p>
      <w:pPr>
        <w:keepNext w:val="0"/>
        <w:keepLines w:val="0"/>
        <w:pageBreakBefore w:val="0"/>
        <w:kinsoku/>
        <w:wordWrap/>
        <w:overflowPunct/>
        <w:topLinePunct w:val="0"/>
        <w:autoSpaceDE/>
        <w:autoSpaceDN/>
        <w:bidi w:val="0"/>
        <w:adjustRightInd/>
        <w:snapToGrid/>
        <w:spacing w:line="570" w:lineRule="exact"/>
        <w:textAlignment w:val="auto"/>
        <w:outlineLvl w:val="2"/>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附件</w:t>
      </w:r>
    </w:p>
    <w:p>
      <w:pPr>
        <w:keepNext w:val="0"/>
        <w:keepLines w:val="0"/>
        <w:pageBreakBefore w:val="0"/>
        <w:kinsoku/>
        <w:wordWrap/>
        <w:overflowPunct/>
        <w:topLinePunct w:val="0"/>
        <w:autoSpaceDE/>
        <w:autoSpaceDN/>
        <w:bidi w:val="0"/>
        <w:adjustRightInd/>
        <w:snapToGrid/>
        <w:spacing w:before="156" w:beforeLines="50" w:after="156" w:afterLines="50" w:line="570" w:lineRule="exact"/>
        <w:jc w:val="center"/>
        <w:textAlignment w:val="auto"/>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北海艺术设计学院一流课程评审指标</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仿宋简体" w:hAnsi="仿宋" w:eastAsia="方正仿宋简体" w:cs="Times New Roman"/>
          <w:kern w:val="0"/>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仿宋" w:eastAsia="方正仿宋简体" w:cs="Times New Roman"/>
          <w:kern w:val="0"/>
          <w:sz w:val="32"/>
          <w:szCs w:val="32"/>
        </w:rPr>
      </w:pPr>
      <w:r>
        <w:rPr>
          <w:rFonts w:hint="eastAsia" w:ascii="方正仿宋简体" w:hAnsi="仿宋" w:eastAsia="方正仿宋简体" w:cs="Times New Roman"/>
          <w:kern w:val="0"/>
          <w:sz w:val="32"/>
          <w:szCs w:val="32"/>
        </w:rPr>
        <w:t>一、为提高评审结果的可靠性与可比性，评审指标采取定量评价与定性评价相结合的方法，包括否决性指标、评分指标和专家评审意见三部分。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仿宋" w:eastAsia="方正仿宋简体" w:cs="Times New Roman"/>
          <w:kern w:val="0"/>
          <w:sz w:val="32"/>
          <w:szCs w:val="32"/>
        </w:rPr>
      </w:pPr>
      <w:r>
        <w:rPr>
          <w:rFonts w:hint="eastAsia" w:ascii="方正仿宋简体" w:hAnsi="仿宋" w:eastAsia="方正仿宋简体" w:cs="Times New Roman"/>
          <w:kern w:val="0"/>
          <w:sz w:val="32"/>
          <w:szCs w:val="32"/>
        </w:rPr>
        <w:t>二、否决性指标先行评审，采取一票否决制，即评审对象若出现以下其中任一情况，即判定为不合格，不再继续评审：</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仿宋" w:eastAsia="方正仿宋简体" w:cs="Times New Roman"/>
          <w:kern w:val="0"/>
          <w:sz w:val="32"/>
          <w:szCs w:val="32"/>
        </w:rPr>
      </w:pPr>
      <w:r>
        <w:rPr>
          <w:rFonts w:hint="eastAsia" w:ascii="方正仿宋简体" w:hAnsi="仿宋" w:eastAsia="方正仿宋简体" w:cs="Times New Roman"/>
          <w:kern w:val="0"/>
          <w:sz w:val="32"/>
          <w:szCs w:val="32"/>
        </w:rPr>
        <w:t>（一）本课程未投入实际教学，或应用时间不符合规定；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仿宋" w:eastAsia="方正仿宋简体" w:cs="Times New Roman"/>
          <w:kern w:val="0"/>
          <w:sz w:val="32"/>
          <w:szCs w:val="32"/>
        </w:rPr>
      </w:pPr>
      <w:r>
        <w:rPr>
          <w:rFonts w:hint="eastAsia" w:ascii="方正仿宋简体" w:hAnsi="仿宋" w:eastAsia="方正仿宋简体" w:cs="Times New Roman"/>
          <w:kern w:val="0"/>
          <w:sz w:val="32"/>
          <w:szCs w:val="32"/>
        </w:rPr>
        <w:t>（二）课程内容有违国家安全保密要求，存在思想性、导向性或严重的科学性错误等问题；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仿宋" w:eastAsia="方正仿宋简体" w:cs="Times New Roman"/>
          <w:kern w:val="0"/>
          <w:sz w:val="32"/>
          <w:szCs w:val="32"/>
        </w:rPr>
      </w:pPr>
      <w:r>
        <w:rPr>
          <w:rFonts w:hint="eastAsia" w:ascii="方正仿宋简体" w:hAnsi="仿宋" w:eastAsia="方正仿宋简体" w:cs="Times New Roman"/>
          <w:kern w:val="0"/>
          <w:sz w:val="32"/>
          <w:szCs w:val="32"/>
        </w:rPr>
        <w:t>（三）课程申报材料、建设及应用效果有造假行为。</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仿宋" w:eastAsia="方正仿宋简体" w:cs="Times New Roman"/>
          <w:kern w:val="0"/>
          <w:sz w:val="32"/>
          <w:szCs w:val="32"/>
        </w:rPr>
      </w:pPr>
      <w:r>
        <w:rPr>
          <w:rFonts w:hint="eastAsia" w:ascii="方正仿宋简体" w:hAnsi="仿宋" w:eastAsia="方正仿宋简体" w:cs="Times New Roman"/>
          <w:kern w:val="0"/>
          <w:sz w:val="32"/>
          <w:szCs w:val="32"/>
        </w:rPr>
        <w:t>三、评分指标总分计算：M=∑Ki，其中Ki是各二级指标的分值，参评课程需按照“主要观测点”或“评审标准”要求提供相关印证数据材料查询。</w:t>
      </w:r>
    </w:p>
    <w:p>
      <w:pPr>
        <w:spacing w:line="570" w:lineRule="exac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br w:type="page"/>
      </w:r>
    </w:p>
    <w:p>
      <w:pPr>
        <w:spacing w:before="156" w:beforeLines="50" w:after="156" w:afterLines="50" w:line="57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（一）北海艺术设计学院线上一流课程建设标准</w:t>
      </w:r>
    </w:p>
    <w:tbl>
      <w:tblPr>
        <w:tblStyle w:val="6"/>
        <w:tblW w:w="91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1399"/>
        <w:gridCol w:w="5513"/>
        <w:gridCol w:w="10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133" w:type="dxa"/>
            <w:vAlign w:val="center"/>
          </w:tcPr>
          <w:p>
            <w:pPr>
              <w:spacing w:line="360" w:lineRule="exact"/>
              <w:jc w:val="center"/>
              <w:rPr>
                <w:rFonts w:ascii="宋体" w:hAnsi="宋体" w:eastAsia="宋体" w:cs="宋体"/>
                <w:b/>
                <w:bCs w:val="0"/>
                <w:sz w:val="24"/>
                <w:szCs w:val="24"/>
                <w:lang w:val="zh-CN" w:bidi="zh-CN"/>
              </w:rPr>
            </w:pPr>
            <w:r>
              <w:rPr>
                <w:rFonts w:hint="eastAsia" w:ascii="宋体" w:hAnsi="宋体" w:eastAsia="宋体" w:cs="宋体"/>
                <w:b/>
                <w:bCs w:val="0"/>
                <w:sz w:val="24"/>
                <w:szCs w:val="24"/>
                <w:lang w:val="zh-CN" w:bidi="zh-CN"/>
              </w:rPr>
              <w:t>一级指标</w:t>
            </w:r>
          </w:p>
        </w:tc>
        <w:tc>
          <w:tcPr>
            <w:tcW w:w="1399" w:type="dxa"/>
            <w:vAlign w:val="center"/>
          </w:tcPr>
          <w:p>
            <w:pPr>
              <w:spacing w:line="360" w:lineRule="exact"/>
              <w:jc w:val="center"/>
              <w:rPr>
                <w:rFonts w:ascii="宋体" w:hAnsi="宋体" w:eastAsia="宋体" w:cs="宋体"/>
                <w:b/>
                <w:bCs w:val="0"/>
                <w:sz w:val="24"/>
                <w:szCs w:val="24"/>
                <w:lang w:val="zh-CN" w:bidi="zh-CN"/>
              </w:rPr>
            </w:pPr>
            <w:r>
              <w:rPr>
                <w:rFonts w:hint="eastAsia" w:ascii="宋体" w:hAnsi="宋体" w:eastAsia="宋体" w:cs="宋体"/>
                <w:b/>
                <w:bCs w:val="0"/>
                <w:sz w:val="24"/>
                <w:szCs w:val="24"/>
                <w:lang w:val="zh-CN" w:bidi="zh-CN"/>
              </w:rPr>
              <w:t>二级指标</w:t>
            </w:r>
          </w:p>
        </w:tc>
        <w:tc>
          <w:tcPr>
            <w:tcW w:w="5513" w:type="dxa"/>
            <w:vAlign w:val="center"/>
          </w:tcPr>
          <w:p>
            <w:pPr>
              <w:spacing w:line="360" w:lineRule="exact"/>
              <w:jc w:val="center"/>
              <w:rPr>
                <w:rFonts w:ascii="宋体" w:hAnsi="宋体" w:eastAsia="宋体" w:cs="宋体"/>
                <w:b/>
                <w:bCs w:val="0"/>
                <w:sz w:val="24"/>
                <w:szCs w:val="24"/>
                <w:lang w:val="zh-CN" w:bidi="zh-CN"/>
              </w:rPr>
            </w:pPr>
            <w:r>
              <w:rPr>
                <w:rFonts w:hint="eastAsia" w:ascii="宋体" w:hAnsi="宋体" w:eastAsia="宋体" w:cs="宋体"/>
                <w:b/>
                <w:bCs w:val="0"/>
                <w:sz w:val="24"/>
                <w:szCs w:val="24"/>
                <w:lang w:val="zh-CN" w:bidi="zh-CN"/>
              </w:rPr>
              <w:t>基本要求</w:t>
            </w:r>
          </w:p>
        </w:tc>
        <w:tc>
          <w:tcPr>
            <w:tcW w:w="1082" w:type="dxa"/>
            <w:vAlign w:val="center"/>
          </w:tcPr>
          <w:p>
            <w:pPr>
              <w:spacing w:line="360" w:lineRule="exact"/>
              <w:jc w:val="center"/>
              <w:rPr>
                <w:rFonts w:ascii="宋体" w:hAnsi="宋体" w:eastAsia="宋体" w:cs="宋体"/>
                <w:b/>
                <w:bCs w:val="0"/>
                <w:sz w:val="24"/>
                <w:szCs w:val="24"/>
                <w:lang w:val="zh-CN" w:bidi="zh-CN"/>
              </w:rPr>
            </w:pPr>
            <w:r>
              <w:rPr>
                <w:rFonts w:hint="eastAsia" w:ascii="宋体" w:hAnsi="宋体" w:eastAsia="宋体" w:cs="宋体"/>
                <w:b/>
                <w:bCs w:val="0"/>
                <w:sz w:val="24"/>
                <w:szCs w:val="24"/>
                <w:lang w:val="zh-CN" w:bidi="zh-CN"/>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jc w:val="center"/>
        </w:trPr>
        <w:tc>
          <w:tcPr>
            <w:tcW w:w="1133"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 课程团队</w:t>
            </w:r>
          </w:p>
        </w:tc>
        <w:tc>
          <w:tcPr>
            <w:tcW w:w="1399" w:type="dxa"/>
            <w:vAlign w:val="center"/>
          </w:tcPr>
          <w:p>
            <w:pPr>
              <w:spacing w:line="360" w:lineRule="exact"/>
              <w:jc w:val="center"/>
              <w:rPr>
                <w:rFonts w:ascii="宋体" w:hAnsi="宋体" w:eastAsia="宋体" w:cs="宋体"/>
                <w:spacing w:val="-1"/>
                <w:szCs w:val="21"/>
                <w:lang w:val="zh-CN" w:bidi="zh-CN"/>
              </w:rPr>
            </w:pPr>
            <w:r>
              <w:rPr>
                <w:rFonts w:hint="eastAsia" w:ascii="宋体" w:hAnsi="宋体" w:eastAsia="宋体" w:cs="宋体"/>
                <w:szCs w:val="21"/>
                <w:lang w:val="zh-CN" w:bidi="zh-CN"/>
              </w:rPr>
              <w:t>1-1</w:t>
            </w:r>
            <w:r>
              <w:rPr>
                <w:rFonts w:hint="eastAsia" w:ascii="宋体" w:hAnsi="宋体" w:eastAsia="宋体" w:cs="宋体"/>
                <w:szCs w:val="21"/>
                <w:lang w:bidi="zh-CN"/>
              </w:rPr>
              <w:t xml:space="preserve"> </w:t>
            </w:r>
            <w:r>
              <w:rPr>
                <w:rFonts w:hint="eastAsia" w:ascii="宋体" w:hAnsi="宋体" w:eastAsia="宋体" w:cs="宋体"/>
                <w:spacing w:val="-1"/>
                <w:szCs w:val="21"/>
                <w:lang w:val="zh-CN" w:bidi="zh-CN"/>
              </w:rPr>
              <w:t>课程</w:t>
            </w:r>
          </w:p>
          <w:p>
            <w:pPr>
              <w:spacing w:line="360" w:lineRule="exact"/>
              <w:jc w:val="center"/>
              <w:rPr>
                <w:rFonts w:ascii="宋体" w:hAnsi="宋体" w:eastAsia="宋体" w:cs="宋体"/>
                <w:szCs w:val="21"/>
                <w:lang w:val="zh-CN" w:bidi="zh-CN"/>
              </w:rPr>
            </w:pPr>
            <w:r>
              <w:rPr>
                <w:rFonts w:hint="eastAsia" w:ascii="宋体" w:hAnsi="宋体" w:eastAsia="宋体" w:cs="宋体"/>
                <w:spacing w:val="-1"/>
                <w:szCs w:val="21"/>
                <w:lang w:val="zh-CN" w:bidi="zh-CN"/>
              </w:rPr>
              <w:t>负</w:t>
            </w:r>
            <w:r>
              <w:rPr>
                <w:rFonts w:hint="eastAsia" w:ascii="宋体" w:hAnsi="宋体" w:eastAsia="宋体" w:cs="宋体"/>
                <w:szCs w:val="21"/>
                <w:lang w:val="zh-CN" w:bidi="zh-CN"/>
              </w:rPr>
              <w:t>责人</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具有丰富的教学经验和较高学术造诣，教学水平高，积极推进基于信息技术与教育教学深度融合的课程改革，有一定影响度。</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1133"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1-2</w:t>
            </w:r>
            <w:r>
              <w:rPr>
                <w:rFonts w:hint="eastAsia" w:ascii="宋体" w:hAnsi="宋体" w:eastAsia="宋体" w:cs="宋体"/>
                <w:szCs w:val="21"/>
                <w:lang w:bidi="zh-CN"/>
              </w:rPr>
              <w:t xml:space="preserve"> </w:t>
            </w:r>
            <w:r>
              <w:rPr>
                <w:rFonts w:hint="eastAsia" w:ascii="宋体" w:hAnsi="宋体" w:eastAsia="宋体" w:cs="宋体"/>
                <w:szCs w:val="21"/>
                <w:lang w:val="zh-CN" w:bidi="zh-CN"/>
              </w:rPr>
              <w:t>团队成员</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主讲教师师德好，教学能力强，结构合理、人员稳定，积极投身信息技术与教育教学深度融合的教学改革，团队成员不少于5人。</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1133"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1-3</w:t>
            </w:r>
            <w:r>
              <w:rPr>
                <w:rFonts w:hint="eastAsia" w:ascii="宋体" w:hAnsi="宋体" w:eastAsia="宋体" w:cs="宋体"/>
                <w:szCs w:val="21"/>
                <w:lang w:bidi="zh-CN"/>
              </w:rPr>
              <w:t xml:space="preserve"> </w:t>
            </w:r>
            <w:r>
              <w:rPr>
                <w:rFonts w:hint="eastAsia" w:ascii="宋体" w:hAnsi="宋体" w:eastAsia="宋体" w:cs="宋体"/>
                <w:szCs w:val="21"/>
                <w:lang w:val="zh-CN" w:bidi="zh-CN"/>
              </w:rPr>
              <w:t>教学改革与成果</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教学思想活跃，教学改革有创意，教学成果显著。</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1133"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 课程</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教学设计</w:t>
            </w: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2-1</w:t>
            </w:r>
            <w:r>
              <w:rPr>
                <w:rFonts w:hint="eastAsia" w:ascii="宋体" w:hAnsi="宋体" w:eastAsia="宋体" w:cs="宋体"/>
                <w:szCs w:val="21"/>
                <w:lang w:bidi="zh-CN"/>
              </w:rPr>
              <w:t xml:space="preserve"> </w:t>
            </w:r>
            <w:r>
              <w:rPr>
                <w:rFonts w:hint="eastAsia" w:ascii="宋体" w:hAnsi="宋体" w:eastAsia="宋体" w:cs="宋体"/>
                <w:szCs w:val="21"/>
                <w:lang w:val="zh-CN" w:bidi="zh-CN"/>
              </w:rPr>
              <w:t>高阶性</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课程教学设计包含知识、能力、素质有机融合，培养学生解决复杂问题的综合能力和高级思维。</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jc w:val="center"/>
        </w:trPr>
        <w:tc>
          <w:tcPr>
            <w:tcW w:w="1133"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2-2</w:t>
            </w:r>
            <w:r>
              <w:rPr>
                <w:rFonts w:hint="eastAsia" w:ascii="宋体" w:hAnsi="宋体" w:eastAsia="宋体" w:cs="宋体"/>
                <w:szCs w:val="21"/>
                <w:lang w:bidi="zh-CN"/>
              </w:rPr>
              <w:t xml:space="preserve"> </w:t>
            </w:r>
            <w:r>
              <w:rPr>
                <w:rFonts w:hint="eastAsia" w:ascii="宋体" w:hAnsi="宋体" w:eastAsia="宋体" w:cs="宋体"/>
                <w:szCs w:val="21"/>
                <w:lang w:val="zh-CN" w:bidi="zh-CN"/>
              </w:rPr>
              <w:t>创新性</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构建体现信息技术与教育教学深度融合的课程结构和教学组织模式，课程知识体系科学，资源配置、考核评价方式合理，适合在线学习和混合式教学。</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133"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2-3</w:t>
            </w:r>
            <w:r>
              <w:rPr>
                <w:rFonts w:hint="eastAsia" w:ascii="宋体" w:hAnsi="宋体" w:eastAsia="宋体" w:cs="宋体"/>
                <w:szCs w:val="21"/>
                <w:lang w:bidi="zh-CN"/>
              </w:rPr>
              <w:t xml:space="preserve"> </w:t>
            </w:r>
            <w:r>
              <w:rPr>
                <w:rFonts w:hint="eastAsia" w:ascii="宋体" w:hAnsi="宋体" w:eastAsia="宋体" w:cs="宋体"/>
                <w:szCs w:val="21"/>
                <w:lang w:val="zh-CN" w:bidi="zh-CN"/>
              </w:rPr>
              <w:t>挑战度</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课程具有一定的难度，能激发学生发挥潜能对所学知识进行融会贯通和拓展应用，培养创新性思维和批判性思维。</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1133"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 课程内容</w:t>
            </w: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3-1</w:t>
            </w:r>
            <w:r>
              <w:rPr>
                <w:rFonts w:hint="eastAsia" w:ascii="宋体" w:hAnsi="宋体" w:eastAsia="宋体" w:cs="宋体"/>
                <w:szCs w:val="21"/>
                <w:lang w:bidi="zh-CN"/>
              </w:rPr>
              <w:t xml:space="preserve"> </w:t>
            </w:r>
            <w:r>
              <w:rPr>
                <w:rFonts w:hint="eastAsia" w:ascii="宋体" w:hAnsi="宋体" w:eastAsia="宋体" w:cs="宋体"/>
                <w:szCs w:val="21"/>
                <w:lang w:val="zh-CN" w:bidi="zh-CN"/>
              </w:rPr>
              <w:t>思想性</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坚持立德树人，能够将思想政治教育内化为课程内容，弘扬社会主义核心价值观。</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1133"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3-2</w:t>
            </w:r>
            <w:r>
              <w:rPr>
                <w:rFonts w:hint="eastAsia" w:ascii="宋体" w:hAnsi="宋体" w:eastAsia="宋体" w:cs="宋体"/>
                <w:szCs w:val="21"/>
                <w:lang w:bidi="zh-CN"/>
              </w:rPr>
              <w:t xml:space="preserve"> </w:t>
            </w:r>
            <w:r>
              <w:rPr>
                <w:rFonts w:hint="eastAsia" w:ascii="宋体" w:hAnsi="宋体" w:eastAsia="宋体" w:cs="宋体"/>
                <w:szCs w:val="21"/>
                <w:lang w:val="zh-CN" w:bidi="zh-CN"/>
              </w:rPr>
              <w:t>科学性</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课程内容规范完整，体现前沿性和时代性，反映学科专业最新发展成果和教改教研成果，具有较高的科学性，内容更新和完善及时。</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1133"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3-3</w:t>
            </w:r>
            <w:r>
              <w:rPr>
                <w:rFonts w:hint="eastAsia" w:ascii="宋体" w:hAnsi="宋体" w:eastAsia="宋体" w:cs="宋体"/>
                <w:szCs w:val="21"/>
                <w:lang w:bidi="zh-CN"/>
              </w:rPr>
              <w:t xml:space="preserve"> </w:t>
            </w:r>
            <w:r>
              <w:rPr>
                <w:rFonts w:hint="eastAsia" w:ascii="宋体" w:hAnsi="宋体" w:eastAsia="宋体" w:cs="宋体"/>
                <w:szCs w:val="21"/>
                <w:lang w:val="zh-CN" w:bidi="zh-CN"/>
              </w:rPr>
              <w:t>安全性</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无危害国家安全、涉密及其他不适宜网络公开传播的内容，无侵犯他人知识产权内容。</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否决性指标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jc w:val="center"/>
        </w:trPr>
        <w:tc>
          <w:tcPr>
            <w:tcW w:w="1133"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 课程资源</w:t>
            </w:r>
          </w:p>
        </w:tc>
        <w:tc>
          <w:tcPr>
            <w:tcW w:w="1399"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4-1</w:t>
            </w:r>
            <w:r>
              <w:rPr>
                <w:rFonts w:hint="eastAsia" w:ascii="宋体" w:hAnsi="宋体" w:eastAsia="宋体" w:cs="宋体"/>
                <w:szCs w:val="21"/>
                <w:lang w:bidi="zh-CN"/>
              </w:rPr>
              <w:t xml:space="preserve"> </w:t>
            </w:r>
            <w:r>
              <w:rPr>
                <w:rFonts w:hint="eastAsia" w:ascii="宋体" w:hAnsi="宋体" w:eastAsia="宋体" w:cs="宋体"/>
                <w:szCs w:val="21"/>
                <w:lang w:val="zh-CN" w:bidi="zh-CN"/>
              </w:rPr>
              <w:t>教学视频</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视频质量优质，每个教学视频时长建议5-15分钟左右，每1学分课程的视频总时长应不低于250分钟。</w:t>
            </w:r>
          </w:p>
          <w:p>
            <w:pPr>
              <w:spacing w:line="360" w:lineRule="exact"/>
              <w:jc w:val="left"/>
              <w:rPr>
                <w:rFonts w:ascii="宋体" w:hAnsi="宋体" w:eastAsia="宋体" w:cs="宋体"/>
                <w:szCs w:val="21"/>
                <w:lang w:bidi="zh-CN"/>
              </w:rPr>
            </w:pPr>
            <w:r>
              <w:rPr>
                <w:rFonts w:hint="eastAsia" w:ascii="宋体" w:hAnsi="宋体" w:eastAsia="宋体" w:cs="宋体"/>
                <w:szCs w:val="21"/>
                <w:lang w:bidi="zh-CN"/>
              </w:rPr>
              <w:t>课程平台为</w:t>
            </w:r>
            <w:r>
              <w:rPr>
                <w:rFonts w:hint="eastAsia" w:ascii="宋体" w:hAnsi="宋体" w:eastAsia="宋体" w:cs="宋体"/>
                <w:szCs w:val="21"/>
                <w:lang w:val="zh-CN" w:bidi="zh-CN"/>
              </w:rPr>
              <w:t>面向社会或高校开放平台</w:t>
            </w:r>
            <w:r>
              <w:rPr>
                <w:rFonts w:hint="eastAsia" w:ascii="宋体" w:hAnsi="宋体" w:eastAsia="宋体" w:cs="宋体"/>
                <w:szCs w:val="21"/>
                <w:lang w:bidi="zh-CN"/>
              </w:rPr>
              <w:t>须有</w:t>
            </w:r>
            <w:r>
              <w:rPr>
                <w:rFonts w:hint="eastAsia" w:ascii="宋体" w:hAnsi="宋体" w:eastAsia="宋体" w:cs="宋体"/>
                <w:szCs w:val="21"/>
                <w:lang w:val="zh-CN" w:bidi="zh-CN"/>
              </w:rPr>
              <w:t>工信部ICP网站备案、无公安机关网站备案号、</w:t>
            </w:r>
            <w:r>
              <w:rPr>
                <w:rFonts w:hint="eastAsia" w:ascii="宋体" w:hAnsi="宋体" w:eastAsia="宋体" w:cs="宋体"/>
                <w:szCs w:val="21"/>
                <w:lang w:bidi="zh-CN"/>
              </w:rPr>
              <w:t>有</w:t>
            </w:r>
            <w:r>
              <w:rPr>
                <w:rFonts w:hint="eastAsia" w:ascii="宋体" w:hAnsi="宋体" w:eastAsia="宋体" w:cs="宋体"/>
                <w:szCs w:val="21"/>
                <w:lang w:val="zh-CN" w:bidi="zh-CN"/>
              </w:rPr>
              <w:t>信息安全二级以上等级保护证书。</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133"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39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课程负责人录制讲授本课程的视频时长不少于1/3。</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否决性指标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1133" w:type="dxa"/>
            <w:vMerge w:val="continue"/>
            <w:tcBorders>
              <w:top w:val="nil"/>
              <w:bottom w:val="single" w:color="000000" w:sz="4" w:space="0"/>
            </w:tcBorders>
            <w:vAlign w:val="center"/>
          </w:tcPr>
          <w:p>
            <w:pPr>
              <w:spacing w:line="360" w:lineRule="exact"/>
              <w:jc w:val="center"/>
              <w:rPr>
                <w:rFonts w:ascii="Times New Roman" w:hAnsi="Times New Roman" w:eastAsia="宋体" w:cs="Times New Roman"/>
                <w:szCs w:val="21"/>
              </w:rPr>
            </w:pP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4-2 课程题库</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本校应用建议增加开放式/非标准答案测验题、案例题等综合应用题。期末考试不少于2套试卷。</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1133" w:type="dxa"/>
            <w:vMerge w:val="restart"/>
            <w:tcBorders>
              <w:top w:val="single" w:color="000000" w:sz="4" w:space="0"/>
            </w:tcBorders>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5 在线教学</w:t>
            </w:r>
          </w:p>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情况</w:t>
            </w: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5-1 在线教学</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安排</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通过课程平台，教师按照教学计划和要求为学习者提供测验、作业、考试、答疑、讨论等教学活动，及时开展有效的在线指导与测评。具备足够的有效支撑网络课堂互动的完整讨论话题。</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1133" w:type="dxa"/>
            <w:vMerge w:val="continue"/>
            <w:tcBorders>
              <w:bottom w:val="single" w:color="000000" w:sz="4" w:space="0"/>
            </w:tcBorders>
            <w:vAlign w:val="center"/>
          </w:tcPr>
          <w:p>
            <w:pPr>
              <w:spacing w:line="360" w:lineRule="exact"/>
              <w:jc w:val="center"/>
              <w:rPr>
                <w:rFonts w:ascii="Times New Roman" w:hAnsi="Times New Roman" w:eastAsia="宋体" w:cs="Times New Roman"/>
                <w:szCs w:val="21"/>
              </w:rPr>
            </w:pP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5-2 学习者</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活动</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学习者在线学习响应度高，师生互动充分，能有效促进师生之间、学生之间进行资源共享、互动交流和自主式与协作式学习。</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1133" w:type="dxa"/>
            <w:vMerge w:val="restart"/>
            <w:tcBorders>
              <w:top w:val="single" w:color="000000" w:sz="4" w:space="0"/>
            </w:tcBorders>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6 应用效</w:t>
            </w:r>
          </w:p>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果与影响</w:t>
            </w:r>
          </w:p>
        </w:tc>
        <w:tc>
          <w:tcPr>
            <w:tcW w:w="1399"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6-1 课程本校</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应用情况</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在本校教学过程中能较好地应用，将在线课程与课堂教学相结合，教学方法先进，教学质量高。</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1133" w:type="dxa"/>
            <w:vMerge w:val="continue"/>
            <w:vAlign w:val="center"/>
          </w:tcPr>
          <w:p>
            <w:pPr>
              <w:spacing w:line="360" w:lineRule="exact"/>
              <w:jc w:val="center"/>
              <w:rPr>
                <w:rFonts w:ascii="Times New Roman" w:hAnsi="Times New Roman" w:eastAsia="宋体" w:cs="Times New Roman"/>
                <w:szCs w:val="21"/>
              </w:rPr>
            </w:pPr>
          </w:p>
        </w:tc>
        <w:tc>
          <w:tcPr>
            <w:tcW w:w="1399" w:type="dxa"/>
            <w:vAlign w:val="center"/>
          </w:tcPr>
          <w:p>
            <w:pPr>
              <w:widowControl/>
              <w:spacing w:line="360" w:lineRule="exact"/>
              <w:jc w:val="center"/>
              <w:rPr>
                <w:rFonts w:ascii="宋体" w:hAnsi="宋体" w:eastAsia="宋体" w:cs="宋体"/>
                <w:szCs w:val="21"/>
                <w:lang w:bidi="zh-CN"/>
              </w:rPr>
            </w:pPr>
            <w:r>
              <w:rPr>
                <w:rFonts w:hint="eastAsia" w:ascii="宋体" w:hAnsi="宋体" w:eastAsia="宋体" w:cs="宋体"/>
                <w:szCs w:val="21"/>
                <w:lang w:bidi="zh-CN"/>
              </w:rPr>
              <w:t>6-2 在其他</w:t>
            </w:r>
          </w:p>
          <w:p>
            <w:pPr>
              <w:widowControl/>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高校和社会学者中应用共享情况</w:t>
            </w:r>
          </w:p>
        </w:tc>
        <w:tc>
          <w:tcPr>
            <w:tcW w:w="551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共享范围广，应用模式多样，应用效果好，社会影响力大，受益教师和学习者反馈、评价高。</w:t>
            </w:r>
          </w:p>
        </w:tc>
        <w:tc>
          <w:tcPr>
            <w:tcW w:w="1082"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bl>
    <w:p>
      <w:pPr>
        <w:spacing w:before="156" w:beforeLines="50" w:after="156" w:afterLines="50" w:line="570" w:lineRule="exact"/>
        <w:jc w:val="center"/>
        <w:rPr>
          <w:rFonts w:hint="eastAsia" w:ascii="方正小标宋简体" w:hAnsi="方正小标宋简体" w:eastAsia="方正小标宋简体" w:cs="方正小标宋简体"/>
          <w:sz w:val="32"/>
          <w:szCs w:val="32"/>
        </w:rPr>
      </w:pPr>
      <w:r>
        <w:rPr>
          <w:rFonts w:hint="eastAsia" w:ascii="方正仿宋简体" w:hAnsi="方正仿宋简体" w:eastAsia="方正仿宋简体" w:cs="方正仿宋简体"/>
          <w:sz w:val="32"/>
          <w:szCs w:val="32"/>
        </w:rPr>
        <w:br w:type="page"/>
      </w:r>
      <w:r>
        <w:rPr>
          <w:rFonts w:hint="eastAsia" w:ascii="方正小标宋简体" w:hAnsi="方正小标宋简体" w:eastAsia="方正小标宋简体" w:cs="方正小标宋简体"/>
          <w:sz w:val="32"/>
          <w:szCs w:val="32"/>
        </w:rPr>
        <w:t>（二）北海艺术设计学院线上线下混合式一流课程建设标准</w:t>
      </w:r>
    </w:p>
    <w:tbl>
      <w:tblPr>
        <w:tblStyle w:val="6"/>
        <w:tblW w:w="91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9"/>
        <w:gridCol w:w="1417"/>
        <w:gridCol w:w="5593"/>
        <w:gridCol w:w="1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049" w:type="dxa"/>
            <w:vAlign w:val="center"/>
          </w:tcPr>
          <w:p>
            <w:pPr>
              <w:spacing w:line="360" w:lineRule="exact"/>
              <w:jc w:val="center"/>
              <w:rPr>
                <w:rFonts w:ascii="宋体" w:hAnsi="宋体" w:eastAsia="宋体" w:cs="宋体"/>
                <w:b/>
                <w:szCs w:val="21"/>
                <w:lang w:val="zh-CN" w:bidi="zh-CN"/>
              </w:rPr>
            </w:pPr>
            <w:r>
              <w:rPr>
                <w:rFonts w:hint="eastAsia" w:ascii="宋体" w:hAnsi="宋体" w:eastAsia="宋体" w:cs="宋体"/>
                <w:b/>
                <w:szCs w:val="21"/>
                <w:lang w:val="zh-CN" w:bidi="zh-CN"/>
              </w:rPr>
              <w:t>一级指标</w:t>
            </w:r>
          </w:p>
        </w:tc>
        <w:tc>
          <w:tcPr>
            <w:tcW w:w="1417" w:type="dxa"/>
            <w:vAlign w:val="center"/>
          </w:tcPr>
          <w:p>
            <w:pPr>
              <w:spacing w:line="360" w:lineRule="exact"/>
              <w:jc w:val="center"/>
              <w:rPr>
                <w:rFonts w:ascii="宋体" w:hAnsi="宋体" w:eastAsia="宋体" w:cs="宋体"/>
                <w:b/>
                <w:szCs w:val="21"/>
                <w:lang w:val="zh-CN" w:bidi="zh-CN"/>
              </w:rPr>
            </w:pPr>
            <w:r>
              <w:rPr>
                <w:rFonts w:hint="eastAsia" w:ascii="宋体" w:hAnsi="宋体" w:eastAsia="宋体" w:cs="宋体"/>
                <w:b/>
                <w:szCs w:val="21"/>
                <w:lang w:val="zh-CN" w:bidi="zh-CN"/>
              </w:rPr>
              <w:t>二级指标</w:t>
            </w:r>
          </w:p>
        </w:tc>
        <w:tc>
          <w:tcPr>
            <w:tcW w:w="5593" w:type="dxa"/>
            <w:vAlign w:val="center"/>
          </w:tcPr>
          <w:p>
            <w:pPr>
              <w:spacing w:line="360" w:lineRule="exact"/>
              <w:jc w:val="center"/>
              <w:rPr>
                <w:rFonts w:ascii="宋体" w:hAnsi="宋体" w:eastAsia="宋体" w:cs="宋体"/>
                <w:b/>
                <w:szCs w:val="21"/>
                <w:lang w:val="zh-CN" w:bidi="zh-CN"/>
              </w:rPr>
            </w:pPr>
            <w:r>
              <w:rPr>
                <w:rFonts w:hint="eastAsia" w:ascii="宋体" w:hAnsi="宋体" w:eastAsia="宋体" w:cs="宋体"/>
                <w:b/>
                <w:szCs w:val="21"/>
                <w:lang w:val="zh-CN" w:bidi="zh-CN"/>
              </w:rPr>
              <w:t>基本要求</w:t>
            </w:r>
          </w:p>
        </w:tc>
        <w:tc>
          <w:tcPr>
            <w:tcW w:w="1068" w:type="dxa"/>
            <w:vAlign w:val="center"/>
          </w:tcPr>
          <w:p>
            <w:pPr>
              <w:spacing w:line="360" w:lineRule="exact"/>
              <w:jc w:val="center"/>
              <w:rPr>
                <w:rFonts w:ascii="宋体" w:hAnsi="宋体" w:eastAsia="宋体" w:cs="宋体"/>
                <w:b/>
                <w:szCs w:val="21"/>
                <w:lang w:val="zh-CN" w:bidi="zh-CN"/>
              </w:rPr>
            </w:pPr>
            <w:r>
              <w:rPr>
                <w:rFonts w:hint="eastAsia" w:ascii="宋体" w:hAnsi="宋体" w:eastAsia="宋体" w:cs="宋体"/>
                <w:b/>
                <w:szCs w:val="21"/>
                <w:lang w:val="zh-CN" w:bidi="zh-CN"/>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jc w:val="center"/>
        </w:trPr>
        <w:tc>
          <w:tcPr>
            <w:tcW w:w="1049"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 课程团队</w:t>
            </w: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1-1 课程</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负责人</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具有丰富的教学经验和较高学术造诣，教学水平高，积极推进基于慕课的信息技术与教育教学深度融合的课程改革，有一定影响度。</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1-2 团队成员</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主讲教师师德好，教学能力强，结构合理、人员稳定，积极投身信息技术与教育教学深度融合的教学改革，团队成员不少于 5 人。</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1-3 教学改革</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与成果</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教学思想活跃，教学改革有创意，教学成果显著。</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1049"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 课程教学设计</w:t>
            </w: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2-1 高阶性</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课程教学设计包含知识、能力、素质有机融合，培养学生解决复杂问题的综合能力和高级思维。</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2-2 创新性</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课程内容有前沿性和时代性并持续更新，教学形式体现先进性、多样性和互动性，充分利用线上课程资源，合理设计线下授课和线上学习的各个环节，体现线上资源和线下课堂相结合的优势。</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2-3 挑战度</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课程具有一定的难度，能激发学生发挥潜能对所学知识进行融会贯通和拓展应用，培养创新性思维和批判性思维。</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2-4 课程评价</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课程管理与评价科学且可测量，采用多元化考核评价，加强非标准化、综合性等评价。</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2-5 授课安排</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课程</w:t>
            </w:r>
            <w:r>
              <w:rPr>
                <w:rFonts w:hint="eastAsia" w:ascii="宋体" w:hAnsi="宋体" w:eastAsia="宋体" w:cs="宋体"/>
                <w:szCs w:val="21"/>
                <w:lang w:val="zh-CN" w:bidi="zh-CN"/>
              </w:rPr>
              <w:t>授课计划必须明确线上、线下教学进程安排的具体。线上课程教学安排符合“安排20%-50%的线上学生自主学习的基本要求”。</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否决性指标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jc w:val="center"/>
        </w:trPr>
        <w:tc>
          <w:tcPr>
            <w:tcW w:w="1049"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 课程内容</w:t>
            </w: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3-1 思想性</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坚持立德树人，能够将思想政治教育内化为课程内容，弘扬社会主义核心价值观。</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6"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3-2 科学性</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课程内容规范完整，体现前沿性和时代性，反映学科专业最新发展成果和教改教研成果，具有较高的科学性，内容更新和完善及时。</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3-3 安全性</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无危害国家安全、涉密及其他不适宜网络公开传播的内容，无侵犯他人知识产权内容。</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否决性指标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1049"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 课程资源</w:t>
            </w: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4-1 教学视频</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（自建课程适用）</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视频质量优质，每个教学视频时长建议 5-15 分钟左右，每 1 学分课程的视频总时长应不低于 250分钟</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1049" w:type="dxa"/>
            <w:vMerge w:val="continue"/>
            <w:vAlign w:val="center"/>
          </w:tcPr>
          <w:p>
            <w:pPr>
              <w:spacing w:line="360" w:lineRule="exact"/>
              <w:jc w:val="center"/>
              <w:rPr>
                <w:rFonts w:ascii="宋体" w:hAnsi="宋体" w:eastAsia="宋体" w:cs="宋体"/>
                <w:szCs w:val="21"/>
                <w:lang w:val="zh-CN" w:bidi="zh-CN"/>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4-1 教学视频</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（他建课程适用）</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所选用的线上课程资源为国家精品在线开放课程资源。</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1049" w:type="dxa"/>
            <w:vMerge w:val="continue"/>
            <w:vAlign w:val="center"/>
          </w:tcPr>
          <w:p>
            <w:pPr>
              <w:spacing w:line="360" w:lineRule="exact"/>
              <w:jc w:val="center"/>
              <w:rPr>
                <w:rFonts w:ascii="宋体" w:hAnsi="宋体" w:eastAsia="宋体" w:cs="宋体"/>
                <w:szCs w:val="21"/>
                <w:lang w:val="zh-CN" w:bidi="zh-CN"/>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4-2 题库建设</w:t>
            </w:r>
          </w:p>
        </w:tc>
        <w:tc>
          <w:tcPr>
            <w:tcW w:w="5593" w:type="dxa"/>
            <w:vAlign w:val="center"/>
          </w:tcPr>
          <w:p>
            <w:pPr>
              <w:spacing w:line="360" w:lineRule="exact"/>
              <w:jc w:val="left"/>
              <w:rPr>
                <w:rFonts w:ascii="宋体" w:hAnsi="宋体" w:eastAsia="宋体" w:cs="宋体"/>
                <w:szCs w:val="21"/>
                <w:lang w:bidi="zh-CN"/>
              </w:rPr>
            </w:pPr>
            <w:r>
              <w:rPr>
                <w:rFonts w:hint="eastAsia" w:ascii="宋体" w:hAnsi="宋体" w:eastAsia="宋体" w:cs="宋体"/>
                <w:szCs w:val="21"/>
                <w:lang w:bidi="zh-CN"/>
              </w:rPr>
              <w:t>每个教学视频建议配备试题，非重复试题总数不少于150 题（建议采用客观题为主）。本校应用建议增加开放式/非标准答案测验题、案例题等综合应用题。期末考试不少于2套试卷。</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049"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5 教学效果</w:t>
            </w: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5-1 达成度</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课程目标符合学校办学定位和人才培养目标，注重知识、能力、素质培养。课程目标达成度高，学生成绩分布合理，及格率高于70%。</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1049" w:type="dxa"/>
            <w:vMerge w:val="continue"/>
            <w:vAlign w:val="center"/>
          </w:tcPr>
          <w:p>
            <w:pPr>
              <w:spacing w:line="360" w:lineRule="exact"/>
              <w:jc w:val="center"/>
              <w:rPr>
                <w:rFonts w:ascii="宋体" w:hAnsi="宋体" w:eastAsia="宋体" w:cs="宋体"/>
                <w:szCs w:val="21"/>
                <w:lang w:val="zh-CN" w:bidi="zh-CN"/>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 xml:space="preserve">5-2 质量评价 </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学生、同行、督导对课程评价高，近 3 年教学综合评价至少一次位列全校前 20%。</w:t>
            </w:r>
          </w:p>
        </w:tc>
        <w:tc>
          <w:tcPr>
            <w:tcW w:w="1068" w:type="dxa"/>
            <w:vAlign w:val="center"/>
          </w:tcPr>
          <w:p>
            <w:pPr>
              <w:spacing w:line="360" w:lineRule="exact"/>
              <w:jc w:val="center"/>
              <w:rPr>
                <w:rFonts w:ascii="宋体" w:hAnsi="宋体" w:eastAsia="宋体" w:cs="宋体"/>
                <w:szCs w:val="21"/>
                <w:lang w:val="zh-CN" w:bidi="zh-CN"/>
              </w:rPr>
            </w:pPr>
            <w:r>
              <w:rPr>
                <w:rFonts w:ascii="宋体" w:hAnsi="宋体" w:eastAsia="宋体" w:cs="宋体"/>
                <w:szCs w:val="21"/>
                <w:lang w:val="zh-CN" w:bidi="zh-CN"/>
              </w:rPr>
              <w:t>5</w:t>
            </w:r>
            <w:r>
              <w:rPr>
                <w:rFonts w:hint="eastAsia" w:ascii="宋体" w:hAnsi="宋体" w:eastAsia="宋体" w:cs="宋体"/>
                <w:szCs w:val="21"/>
                <w:lang w:val="zh-CN" w:bidi="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jc w:val="center"/>
        </w:trPr>
        <w:tc>
          <w:tcPr>
            <w:tcW w:w="1049" w:type="dxa"/>
            <w:vMerge w:val="continue"/>
            <w:vAlign w:val="center"/>
          </w:tcPr>
          <w:p>
            <w:pPr>
              <w:spacing w:line="360" w:lineRule="exact"/>
              <w:jc w:val="center"/>
              <w:rPr>
                <w:rFonts w:ascii="宋体" w:hAnsi="宋体" w:eastAsia="宋体" w:cs="宋体"/>
                <w:szCs w:val="21"/>
                <w:lang w:val="zh-CN" w:bidi="zh-CN"/>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 xml:space="preserve">5-3 线上教学 </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活动</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通过课程平台，教师按照教学计划和要求为学习者提供测验、作业、考试、答疑、讨论等教学活动，及时开展有效的在线指导与测评。具备足够的有效支撑网络课堂互动的完整讨论话题。</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1049" w:type="dxa"/>
            <w:vMerge w:val="continue"/>
            <w:vAlign w:val="center"/>
          </w:tcPr>
          <w:p>
            <w:pPr>
              <w:spacing w:line="360" w:lineRule="exact"/>
              <w:jc w:val="center"/>
              <w:rPr>
                <w:rFonts w:ascii="宋体" w:hAnsi="宋体" w:eastAsia="宋体" w:cs="宋体"/>
                <w:szCs w:val="21"/>
                <w:lang w:val="zh-CN" w:bidi="zh-CN"/>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bidi="zh-CN"/>
              </w:rPr>
              <w:t>5-4 课堂实录</w:t>
            </w:r>
          </w:p>
        </w:tc>
        <w:tc>
          <w:tcPr>
            <w:tcW w:w="5593"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bidi="zh-CN"/>
              </w:rPr>
              <w:t>提供的课堂实录视频，课堂讲课有激情，精神饱满；有感染力，能吸引学生的注意力；学生课堂学习参与度高，生生、师生互动性强。</w:t>
            </w:r>
          </w:p>
        </w:tc>
        <w:tc>
          <w:tcPr>
            <w:tcW w:w="1068"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bl>
    <w:p>
      <w:pPr>
        <w:spacing w:after="156" w:afterLines="50" w:line="570" w:lineRule="exact"/>
        <w:jc w:val="center"/>
        <w:rPr>
          <w:rFonts w:ascii="方正小标宋简体" w:hAnsi="方正小标宋简体" w:eastAsia="方正小标宋简体" w:cs="方正小标宋简体"/>
          <w:sz w:val="32"/>
          <w:szCs w:val="32"/>
        </w:rPr>
        <w:sectPr>
          <w:headerReference r:id="rId3" w:type="default"/>
          <w:footerReference r:id="rId4" w:type="default"/>
          <w:pgSz w:w="11906" w:h="16838"/>
          <w:pgMar w:top="1701" w:right="1587" w:bottom="1701" w:left="1587" w:header="851" w:footer="992" w:gutter="0"/>
          <w:cols w:space="720" w:num="1"/>
          <w:docGrid w:type="linesAndChars" w:linePitch="312" w:charSpace="0"/>
        </w:sectPr>
      </w:pPr>
    </w:p>
    <w:p>
      <w:pPr>
        <w:spacing w:after="156" w:afterLines="50" w:line="57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（三）北海艺术设计学院线下一流课程建设标准</w:t>
      </w:r>
    </w:p>
    <w:tbl>
      <w:tblPr>
        <w:tblStyle w:val="6"/>
        <w:tblW w:w="91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9"/>
        <w:gridCol w:w="1417"/>
        <w:gridCol w:w="5991"/>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1049" w:type="dxa"/>
            <w:vAlign w:val="center"/>
          </w:tcPr>
          <w:p>
            <w:pPr>
              <w:spacing w:line="360" w:lineRule="exact"/>
              <w:jc w:val="center"/>
              <w:rPr>
                <w:rFonts w:ascii="宋体" w:hAnsi="宋体" w:eastAsia="宋体" w:cs="宋体"/>
                <w:b/>
                <w:szCs w:val="21"/>
                <w:lang w:val="zh-CN" w:bidi="zh-CN"/>
              </w:rPr>
            </w:pPr>
            <w:r>
              <w:rPr>
                <w:rFonts w:hint="eastAsia" w:ascii="宋体" w:hAnsi="宋体" w:eastAsia="宋体" w:cs="宋体"/>
                <w:b/>
                <w:szCs w:val="21"/>
                <w:lang w:val="zh-CN" w:bidi="zh-CN"/>
              </w:rPr>
              <w:t>一级指标</w:t>
            </w:r>
          </w:p>
        </w:tc>
        <w:tc>
          <w:tcPr>
            <w:tcW w:w="1417" w:type="dxa"/>
            <w:vAlign w:val="center"/>
          </w:tcPr>
          <w:p>
            <w:pPr>
              <w:spacing w:line="360" w:lineRule="exact"/>
              <w:jc w:val="center"/>
              <w:rPr>
                <w:rFonts w:ascii="宋体" w:hAnsi="宋体" w:eastAsia="宋体" w:cs="宋体"/>
                <w:b/>
                <w:szCs w:val="21"/>
                <w:lang w:val="zh-CN" w:bidi="zh-CN"/>
              </w:rPr>
            </w:pPr>
            <w:r>
              <w:rPr>
                <w:rFonts w:hint="eastAsia" w:ascii="宋体" w:hAnsi="宋体" w:eastAsia="宋体" w:cs="宋体"/>
                <w:b/>
                <w:szCs w:val="21"/>
                <w:lang w:val="zh-CN" w:bidi="zh-CN"/>
              </w:rPr>
              <w:t>二级指标</w:t>
            </w:r>
          </w:p>
        </w:tc>
        <w:tc>
          <w:tcPr>
            <w:tcW w:w="5991" w:type="dxa"/>
            <w:vAlign w:val="center"/>
          </w:tcPr>
          <w:p>
            <w:pPr>
              <w:spacing w:line="360" w:lineRule="exact"/>
              <w:jc w:val="center"/>
              <w:rPr>
                <w:rFonts w:ascii="宋体" w:hAnsi="宋体" w:eastAsia="宋体" w:cs="宋体"/>
                <w:b/>
                <w:szCs w:val="21"/>
                <w:lang w:val="zh-CN" w:bidi="zh-CN"/>
              </w:rPr>
            </w:pPr>
            <w:r>
              <w:rPr>
                <w:rFonts w:hint="eastAsia" w:ascii="宋体" w:hAnsi="宋体" w:eastAsia="宋体" w:cs="宋体"/>
                <w:b/>
                <w:szCs w:val="21"/>
                <w:lang w:val="zh-CN" w:bidi="zh-CN"/>
              </w:rPr>
              <w:t>基本要求</w:t>
            </w:r>
          </w:p>
        </w:tc>
        <w:tc>
          <w:tcPr>
            <w:tcW w:w="670" w:type="dxa"/>
            <w:vAlign w:val="center"/>
          </w:tcPr>
          <w:p>
            <w:pPr>
              <w:spacing w:line="360" w:lineRule="exact"/>
              <w:jc w:val="center"/>
              <w:rPr>
                <w:rFonts w:ascii="宋体" w:hAnsi="宋体" w:eastAsia="宋体" w:cs="宋体"/>
                <w:b/>
                <w:szCs w:val="21"/>
                <w:lang w:val="zh-CN" w:bidi="zh-CN"/>
              </w:rPr>
            </w:pPr>
            <w:r>
              <w:rPr>
                <w:rFonts w:hint="eastAsia" w:ascii="宋体" w:hAnsi="宋体" w:eastAsia="宋体" w:cs="宋体"/>
                <w:b/>
                <w:szCs w:val="21"/>
                <w:lang w:val="zh-CN" w:bidi="zh-CN"/>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jc w:val="center"/>
        </w:trPr>
        <w:tc>
          <w:tcPr>
            <w:tcW w:w="1049"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1课程团队</w:t>
            </w: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1-1 课程负责人</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具有丰富的教学经验和较高学术造诣，教学水平高，积极探索课程改革，有一定影响度。在本课程的建设与改革上，具有代表性的成果。</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1-2 团队成员</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主讲教师师德好，教学能力强，结构合理、人员稳定， 积极投身信息技术与教育教学深度融合的教学改革，团队成员不少于5人。</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1-3 教学改革</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与成果</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教学思想活跃，教学改革有创意，教学成果显著。</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49"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2课程教学设计</w:t>
            </w: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2-1 高阶性</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课程教学设计包含知识、能力、素质有机融合，培养学生解决复杂问题的综合能力和高级思维。</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2-2 创新性</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课程内容有前沿性和时代性并持续更新，教学形式体现先进性、多样性和互动性。应用智慧教学工具，推进信息技术与课程教学的深度融合。</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2-3 挑战度</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课程具有一定的难度，能激发学生发挥潜能对所学知识进行融会贯通和拓展应用，培养创新性和批判性思维。</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2-4 课程评价</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课程管理与评价科学且可测量，采用多元化考核评价，加强非标准化、综合性等评价。</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1049" w:type="dxa"/>
            <w:vMerge w:val="restart"/>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3课程内容及资源</w:t>
            </w: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3-1 思想性</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坚持立德树人，能够将思想政治教育内化为课程内容，弘扬社会主义核心价值观。</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3-2 科学性</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课程内容规范完整，体现前沿性和时代性，反映学科专业最新发展成果和教改教研成果，具有较高的科学性，内容更新和完善及时。</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1049" w:type="dxa"/>
            <w:vMerge w:val="continue"/>
            <w:tcBorders>
              <w:top w:val="nil"/>
            </w:tcBorders>
            <w:vAlign w:val="center"/>
          </w:tcPr>
          <w:p>
            <w:pPr>
              <w:spacing w:line="360" w:lineRule="exact"/>
              <w:jc w:val="center"/>
              <w:rPr>
                <w:rFonts w:ascii="Times New Roman" w:hAnsi="Times New Roman" w:eastAsia="宋体" w:cs="Times New Roman"/>
                <w:szCs w:val="21"/>
              </w:rPr>
            </w:pPr>
          </w:p>
        </w:tc>
        <w:tc>
          <w:tcPr>
            <w:tcW w:w="1417"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3-3 教材及</w:t>
            </w:r>
          </w:p>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相关教学资源</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选用优秀教材（含国家优秀教材、国外高水平原版教材或有高水平的自编教材），配套教学资源齐全，促进学生自主学习和研究性学习。</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jc w:val="center"/>
        </w:trPr>
        <w:tc>
          <w:tcPr>
            <w:tcW w:w="1049" w:type="dxa"/>
            <w:vMerge w:val="restart"/>
            <w:tcBorders>
              <w:bottom w:val="nil"/>
            </w:tcBorders>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4教学效果</w:t>
            </w:r>
          </w:p>
        </w:tc>
        <w:tc>
          <w:tcPr>
            <w:tcW w:w="1417" w:type="dxa"/>
            <w:tcBorders>
              <w:bottom w:val="single" w:color="000000" w:sz="4" w:space="0"/>
            </w:tcBorders>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4-1 达成度</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课程目标符合学校办学定位和人才培养目标，注重知识、能力、素质培养。课程目标达成度高，学生成绩分布合理，及格率高于70%。</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jc w:val="center"/>
        </w:trPr>
        <w:tc>
          <w:tcPr>
            <w:tcW w:w="1049" w:type="dxa"/>
            <w:vMerge w:val="continue"/>
            <w:tcBorders>
              <w:top w:val="nil"/>
              <w:bottom w:val="nil"/>
            </w:tcBorders>
            <w:vAlign w:val="center"/>
          </w:tcPr>
          <w:p>
            <w:pPr>
              <w:spacing w:line="360" w:lineRule="exact"/>
              <w:jc w:val="center"/>
              <w:rPr>
                <w:rFonts w:ascii="Times New Roman" w:hAnsi="Times New Roman" w:eastAsia="宋体" w:cs="Times New Roman"/>
                <w:szCs w:val="21"/>
              </w:rPr>
            </w:pPr>
          </w:p>
        </w:tc>
        <w:tc>
          <w:tcPr>
            <w:tcW w:w="1417" w:type="dxa"/>
            <w:tcBorders>
              <w:top w:val="single" w:color="000000" w:sz="4" w:space="0"/>
              <w:bottom w:val="single" w:color="000000" w:sz="4" w:space="0"/>
            </w:tcBorders>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4-2 质量评价</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学生、同行、督导对课程评价高，近3年教学综合评价至少一次位列全校前20%。</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1049" w:type="dxa"/>
            <w:vMerge w:val="continue"/>
            <w:tcBorders>
              <w:top w:val="nil"/>
              <w:bottom w:val="single" w:color="000000" w:sz="4" w:space="0"/>
            </w:tcBorders>
            <w:vAlign w:val="center"/>
          </w:tcPr>
          <w:p>
            <w:pPr>
              <w:spacing w:line="360" w:lineRule="exact"/>
              <w:jc w:val="center"/>
              <w:rPr>
                <w:rFonts w:ascii="Times New Roman" w:hAnsi="Times New Roman" w:eastAsia="宋体" w:cs="Times New Roman"/>
                <w:szCs w:val="21"/>
              </w:rPr>
            </w:pPr>
          </w:p>
        </w:tc>
        <w:tc>
          <w:tcPr>
            <w:tcW w:w="1417" w:type="dxa"/>
            <w:tcBorders>
              <w:top w:val="single" w:color="000000" w:sz="4" w:space="0"/>
              <w:bottom w:val="single" w:color="000000" w:sz="4" w:space="0"/>
            </w:tcBorders>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4-3 课堂实录</w:t>
            </w:r>
          </w:p>
        </w:tc>
        <w:tc>
          <w:tcPr>
            <w:tcW w:w="5991" w:type="dxa"/>
            <w:vAlign w:val="center"/>
          </w:tcPr>
          <w:p>
            <w:pPr>
              <w:spacing w:line="360" w:lineRule="exact"/>
              <w:jc w:val="left"/>
              <w:rPr>
                <w:rFonts w:ascii="宋体" w:hAnsi="宋体" w:eastAsia="宋体" w:cs="宋体"/>
                <w:szCs w:val="21"/>
                <w:lang w:val="zh-CN" w:bidi="zh-CN"/>
              </w:rPr>
            </w:pPr>
            <w:r>
              <w:rPr>
                <w:rFonts w:hint="eastAsia" w:ascii="宋体" w:hAnsi="宋体" w:eastAsia="宋体" w:cs="宋体"/>
                <w:szCs w:val="21"/>
                <w:lang w:val="zh-CN" w:bidi="zh-CN"/>
              </w:rPr>
              <w:t>提供的课堂实录视频，课堂讲课有激情，精神饱满；有感染力，能吸引学生的注意力；学生课堂学习参与度高， 生生、师生互动性强。</w:t>
            </w:r>
          </w:p>
        </w:tc>
        <w:tc>
          <w:tcPr>
            <w:tcW w:w="670" w:type="dxa"/>
            <w:vAlign w:val="center"/>
          </w:tcPr>
          <w:p>
            <w:pPr>
              <w:spacing w:line="360" w:lineRule="exact"/>
              <w:jc w:val="center"/>
              <w:rPr>
                <w:rFonts w:ascii="宋体" w:hAnsi="宋体" w:eastAsia="宋体" w:cs="宋体"/>
                <w:szCs w:val="21"/>
                <w:lang w:val="zh-CN" w:bidi="zh-CN"/>
              </w:rPr>
            </w:pPr>
            <w:r>
              <w:rPr>
                <w:rFonts w:hint="eastAsia" w:ascii="宋体" w:hAnsi="宋体" w:eastAsia="宋体" w:cs="宋体"/>
                <w:szCs w:val="21"/>
                <w:lang w:val="zh-CN" w:bidi="zh-CN"/>
              </w:rPr>
              <w:t>5分</w:t>
            </w:r>
          </w:p>
        </w:tc>
      </w:tr>
    </w:tbl>
    <w:p>
      <w:pPr>
        <w:spacing w:before="156" w:beforeLines="50" w:after="156" w:afterLines="50" w:line="570" w:lineRule="exact"/>
        <w:jc w:val="center"/>
        <w:rPr>
          <w:rFonts w:ascii="方正小标宋简体" w:hAnsi="方正小标宋简体" w:eastAsia="方正小标宋简体" w:cs="方正小标宋简体"/>
          <w:sz w:val="32"/>
          <w:szCs w:val="32"/>
        </w:rPr>
        <w:sectPr>
          <w:pgSz w:w="11906" w:h="16838"/>
          <w:pgMar w:top="1134" w:right="1587" w:bottom="1701" w:left="1587" w:header="851" w:footer="992" w:gutter="0"/>
          <w:cols w:space="720" w:num="1"/>
          <w:docGrid w:type="linesAndChars" w:linePitch="312" w:charSpace="0"/>
        </w:sectPr>
      </w:pPr>
    </w:p>
    <w:p>
      <w:pPr>
        <w:spacing w:after="156" w:afterLines="50" w:line="570" w:lineRule="exact"/>
        <w:jc w:val="center"/>
        <w:rPr>
          <w:rFonts w:ascii="方正小标宋简体" w:hAnsi="方正小标宋简体" w:eastAsia="方正小标宋简体" w:cs="方正小标宋简体"/>
          <w:sz w:val="32"/>
          <w:szCs w:val="32"/>
        </w:rPr>
      </w:pPr>
      <w:bookmarkStart w:id="34" w:name="_Hlk95377067"/>
      <w:r>
        <w:rPr>
          <w:rFonts w:hint="eastAsia" w:ascii="方正小标宋简体" w:hAnsi="方正小标宋简体" w:eastAsia="方正小标宋简体" w:cs="方正小标宋简体"/>
          <w:sz w:val="32"/>
          <w:szCs w:val="32"/>
        </w:rPr>
        <w:t>（四）北海艺术设计学院虚拟仿真一流课程建设标准</w:t>
      </w:r>
    </w:p>
    <w:bookmarkEnd w:id="34"/>
    <w:tbl>
      <w:tblPr>
        <w:tblStyle w:val="6"/>
        <w:tblW w:w="9141" w:type="dxa"/>
        <w:tblInd w:w="-1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7"/>
        <w:gridCol w:w="1417"/>
        <w:gridCol w:w="6005"/>
        <w:gridCol w:w="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047" w:type="dxa"/>
            <w:tcBorders>
              <w:top w:val="single" w:color="000000" w:sz="4" w:space="0"/>
              <w:left w:val="single" w:color="000000" w:sz="4" w:space="0"/>
              <w:bottom w:val="single" w:color="000000" w:sz="4" w:space="0"/>
              <w:right w:val="single" w:color="000000" w:sz="4" w:space="0"/>
            </w:tcBorders>
            <w:vAlign w:val="center"/>
          </w:tcPr>
          <w:p>
            <w:pPr>
              <w:pStyle w:val="13"/>
              <w:jc w:val="center"/>
              <w:rPr>
                <w:b/>
                <w:sz w:val="21"/>
                <w:szCs w:val="21"/>
              </w:rPr>
            </w:pPr>
            <w:r>
              <w:rPr>
                <w:rFonts w:hint="eastAsia"/>
                <w:b/>
                <w:sz w:val="21"/>
                <w:szCs w:val="21"/>
              </w:rPr>
              <w:t>一级指标</w:t>
            </w: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b/>
                <w:sz w:val="21"/>
                <w:szCs w:val="21"/>
              </w:rPr>
            </w:pPr>
            <w:r>
              <w:rPr>
                <w:rFonts w:hint="eastAsia"/>
                <w:b/>
                <w:sz w:val="21"/>
                <w:szCs w:val="21"/>
              </w:rPr>
              <w:t>二级指标</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jc w:val="center"/>
              <w:rPr>
                <w:b/>
                <w:sz w:val="21"/>
                <w:szCs w:val="21"/>
              </w:rPr>
            </w:pPr>
            <w:r>
              <w:rPr>
                <w:rFonts w:hint="eastAsia"/>
                <w:b/>
                <w:sz w:val="21"/>
                <w:szCs w:val="21"/>
              </w:rPr>
              <w:t>基本要求</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b/>
                <w:sz w:val="21"/>
                <w:szCs w:val="21"/>
              </w:rPr>
            </w:pPr>
            <w:r>
              <w:rPr>
                <w:rFonts w:hint="eastAsia"/>
                <w:b/>
                <w:sz w:val="21"/>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1047" w:type="dxa"/>
            <w:vMerge w:val="restart"/>
            <w:tcBorders>
              <w:top w:val="nil"/>
              <w:left w:val="single" w:color="000000" w:sz="4" w:space="0"/>
              <w:bottom w:val="single" w:color="000000" w:sz="4" w:space="0"/>
              <w:right w:val="single" w:color="000000" w:sz="4" w:space="0"/>
            </w:tcBorders>
            <w:vAlign w:val="center"/>
          </w:tcPr>
          <w:p>
            <w:pPr>
              <w:pStyle w:val="13"/>
              <w:ind w:left="220" w:hanging="210" w:hangingChars="100"/>
              <w:rPr>
                <w:sz w:val="21"/>
                <w:szCs w:val="21"/>
              </w:rPr>
            </w:pPr>
            <w:r>
              <w:rPr>
                <w:rFonts w:hint="eastAsia"/>
                <w:sz w:val="21"/>
                <w:szCs w:val="21"/>
              </w:rPr>
              <w:t>1</w:t>
            </w:r>
            <w:r>
              <w:rPr>
                <w:sz w:val="21"/>
                <w:szCs w:val="21"/>
              </w:rPr>
              <w:t xml:space="preserve"> </w:t>
            </w:r>
            <w:r>
              <w:rPr>
                <w:rFonts w:hint="eastAsia"/>
                <w:sz w:val="21"/>
                <w:szCs w:val="21"/>
              </w:rPr>
              <w:t>应用强度</w:t>
            </w:r>
          </w:p>
          <w:p>
            <w:pPr>
              <w:pStyle w:val="13"/>
              <w:rPr>
                <w:sz w:val="21"/>
                <w:szCs w:val="21"/>
              </w:rPr>
            </w:pPr>
            <w:r>
              <w:rPr>
                <w:rFonts w:hint="eastAsia"/>
                <w:sz w:val="21"/>
                <w:szCs w:val="21"/>
              </w:rPr>
              <w:t>（3</w:t>
            </w:r>
            <w:r>
              <w:rPr>
                <w:sz w:val="21"/>
                <w:szCs w:val="21"/>
              </w:rPr>
              <w:t>0</w:t>
            </w:r>
            <w:r>
              <w:rPr>
                <w:rFonts w:hint="eastAsia"/>
                <w:sz w:val="21"/>
                <w:szCs w:val="21"/>
              </w:rPr>
              <w:t>分）</w:t>
            </w: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1</w:t>
            </w:r>
            <w:r>
              <w:rPr>
                <w:sz w:val="21"/>
                <w:szCs w:val="21"/>
              </w:rPr>
              <w:t xml:space="preserve">-1 </w:t>
            </w:r>
            <w:r>
              <w:rPr>
                <w:rFonts w:hint="eastAsia"/>
                <w:sz w:val="21"/>
                <w:szCs w:val="21"/>
              </w:rPr>
              <w:t>实验教学信息化总体规划</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1、实验教学总体规划方案中有关信息化的描述；</w:t>
            </w:r>
          </w:p>
          <w:p>
            <w:pPr>
              <w:pStyle w:val="13"/>
              <w:rPr>
                <w:sz w:val="21"/>
                <w:szCs w:val="21"/>
              </w:rPr>
            </w:pPr>
            <w:r>
              <w:rPr>
                <w:rFonts w:hint="eastAsia"/>
                <w:sz w:val="21"/>
                <w:szCs w:val="21"/>
              </w:rPr>
              <w:t>2、实验教学信息化中有关虚拟仿真的描述。</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ascii="Times New Roman"/>
                <w:sz w:val="21"/>
                <w:szCs w:val="21"/>
              </w:rPr>
              <w:t>4</w:t>
            </w:r>
            <w:r>
              <w:rPr>
                <w:rFonts w:hint="eastAsia" w:ascii="Times New Roman"/>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trPr>
        <w:tc>
          <w:tcPr>
            <w:tcW w:w="1047" w:type="dxa"/>
            <w:vMerge w:val="continue"/>
            <w:tcBorders>
              <w:top w:val="nil"/>
              <w:left w:val="single" w:color="000000" w:sz="4" w:space="0"/>
              <w:bottom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1</w:t>
            </w:r>
            <w:r>
              <w:rPr>
                <w:sz w:val="21"/>
                <w:szCs w:val="21"/>
              </w:rPr>
              <w:t xml:space="preserve">-2 </w:t>
            </w:r>
            <w:r>
              <w:rPr>
                <w:rFonts w:hint="eastAsia"/>
                <w:sz w:val="21"/>
                <w:szCs w:val="21"/>
              </w:rPr>
              <w:t>虚拟实验在实验教学课程体系中的位置</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1、实验课程在整个课程体系中所占比例；</w:t>
            </w:r>
          </w:p>
          <w:p>
            <w:pPr>
              <w:pStyle w:val="13"/>
              <w:rPr>
                <w:sz w:val="21"/>
                <w:szCs w:val="21"/>
              </w:rPr>
            </w:pPr>
            <w:r>
              <w:rPr>
                <w:rFonts w:hint="eastAsia"/>
                <w:sz w:val="21"/>
                <w:szCs w:val="21"/>
              </w:rPr>
              <w:t>2、实验课程对主干基础课的支撑程度；</w:t>
            </w:r>
          </w:p>
          <w:p>
            <w:pPr>
              <w:pStyle w:val="13"/>
              <w:rPr>
                <w:sz w:val="21"/>
                <w:szCs w:val="21"/>
              </w:rPr>
            </w:pPr>
            <w:r>
              <w:rPr>
                <w:rFonts w:hint="eastAsia"/>
                <w:sz w:val="21"/>
                <w:szCs w:val="21"/>
              </w:rPr>
              <w:t>3、虚拟实验在实验课程中所占比例；</w:t>
            </w:r>
          </w:p>
          <w:p>
            <w:pPr>
              <w:pStyle w:val="13"/>
              <w:rPr>
                <w:sz w:val="21"/>
                <w:szCs w:val="21"/>
              </w:rPr>
            </w:pPr>
            <w:r>
              <w:rPr>
                <w:rFonts w:hint="eastAsia"/>
                <w:sz w:val="21"/>
                <w:szCs w:val="21"/>
              </w:rPr>
              <w:t>4、虚拟实验的学习刚性（必修还是选修）。</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hint="eastAsia" w:ascii="Times New Roman"/>
                <w:sz w:val="21"/>
                <w:szCs w:val="21"/>
              </w:rPr>
              <w:t>1</w:t>
            </w:r>
            <w:r>
              <w:rPr>
                <w:rFonts w:ascii="Times New Roman"/>
                <w:sz w:val="21"/>
                <w:szCs w:val="21"/>
              </w:rPr>
              <w:t>0</w:t>
            </w:r>
            <w:r>
              <w:rPr>
                <w:rFonts w:hint="eastAsia" w:ascii="Times New Roman"/>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tcPr>
            <w:tcW w:w="1047" w:type="dxa"/>
            <w:vMerge w:val="continue"/>
            <w:tcBorders>
              <w:top w:val="nil"/>
              <w:left w:val="single" w:color="000000" w:sz="4" w:space="0"/>
              <w:bottom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1</w:t>
            </w:r>
            <w:r>
              <w:rPr>
                <w:sz w:val="21"/>
                <w:szCs w:val="21"/>
              </w:rPr>
              <w:t xml:space="preserve">-3 </w:t>
            </w:r>
            <w:r>
              <w:rPr>
                <w:rFonts w:hint="eastAsia"/>
                <w:sz w:val="21"/>
                <w:szCs w:val="21"/>
              </w:rPr>
              <w:t>虚拟仿真项目在实验课程中发挥的作用</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1、是否坚持了能实不虚的原则；</w:t>
            </w:r>
          </w:p>
          <w:p>
            <w:pPr>
              <w:pStyle w:val="13"/>
              <w:rPr>
                <w:sz w:val="21"/>
                <w:szCs w:val="21"/>
              </w:rPr>
            </w:pPr>
            <w:r>
              <w:rPr>
                <w:rFonts w:hint="eastAsia"/>
                <w:sz w:val="21"/>
                <w:szCs w:val="21"/>
              </w:rPr>
              <w:t>2、是否实现了虚实结合；</w:t>
            </w:r>
          </w:p>
          <w:p>
            <w:pPr>
              <w:pStyle w:val="13"/>
              <w:rPr>
                <w:sz w:val="21"/>
                <w:szCs w:val="21"/>
              </w:rPr>
            </w:pPr>
            <w:r>
              <w:rPr>
                <w:rFonts w:hint="eastAsia"/>
                <w:sz w:val="21"/>
                <w:szCs w:val="21"/>
              </w:rPr>
              <w:t>3、项目完成情况如何认定实验成绩；</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hint="eastAsia" w:ascii="Times New Roman"/>
                <w:sz w:val="21"/>
                <w:szCs w:val="21"/>
              </w:rPr>
              <w:t>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1047" w:type="dxa"/>
            <w:vMerge w:val="continue"/>
            <w:tcBorders>
              <w:top w:val="nil"/>
              <w:left w:val="single" w:color="000000" w:sz="4" w:space="0"/>
              <w:bottom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1</w:t>
            </w:r>
            <w:r>
              <w:rPr>
                <w:sz w:val="21"/>
                <w:szCs w:val="21"/>
              </w:rPr>
              <w:t xml:space="preserve">-4 </w:t>
            </w:r>
            <w:r>
              <w:rPr>
                <w:rFonts w:hint="eastAsia"/>
                <w:sz w:val="21"/>
                <w:szCs w:val="21"/>
              </w:rPr>
              <w:t>虚拟仿真实验对原有教学形式的影响</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1、是否提高了原有线下实验的效率；</w:t>
            </w:r>
          </w:p>
          <w:p>
            <w:pPr>
              <w:pStyle w:val="13"/>
              <w:rPr>
                <w:sz w:val="21"/>
                <w:szCs w:val="21"/>
              </w:rPr>
            </w:pPr>
            <w:r>
              <w:rPr>
                <w:rFonts w:hint="eastAsia"/>
                <w:sz w:val="21"/>
                <w:szCs w:val="21"/>
              </w:rPr>
              <w:t>2、是否增强了原有线下实验的效果</w:t>
            </w:r>
          </w:p>
          <w:p>
            <w:pPr>
              <w:pStyle w:val="13"/>
              <w:rPr>
                <w:sz w:val="21"/>
                <w:szCs w:val="21"/>
              </w:rPr>
            </w:pPr>
            <w:r>
              <w:rPr>
                <w:rFonts w:hint="eastAsia"/>
                <w:sz w:val="21"/>
                <w:szCs w:val="21"/>
              </w:rPr>
              <w:t>3、是否实现了线上线下相结合。</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numPr>
                <w:ilvl w:val="0"/>
                <w:numId w:val="0"/>
              </w:numPr>
              <w:ind w:leftChars="0"/>
              <w:jc w:val="center"/>
              <w:rPr>
                <w:rFonts w:ascii="Times New Roman"/>
                <w:sz w:val="21"/>
                <w:szCs w:val="21"/>
              </w:rPr>
            </w:pPr>
            <w:r>
              <w:rPr>
                <w:rFonts w:hint="eastAsia" w:ascii="Times New Roman"/>
                <w:sz w:val="21"/>
                <w:szCs w:val="21"/>
                <w:lang w:val="en-US" w:eastAsia="zh-CN"/>
              </w:rPr>
              <w:t>10</w:t>
            </w:r>
            <w:r>
              <w:rPr>
                <w:rFonts w:hint="eastAsia" w:ascii="Times New Roman"/>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047" w:type="dxa"/>
            <w:vMerge w:val="restart"/>
            <w:tcBorders>
              <w:top w:val="nil"/>
              <w:left w:val="single" w:color="000000" w:sz="4" w:space="0"/>
              <w:right w:val="single" w:color="000000" w:sz="4" w:space="0"/>
            </w:tcBorders>
            <w:vAlign w:val="center"/>
          </w:tcPr>
          <w:p>
            <w:pPr>
              <w:pStyle w:val="13"/>
              <w:rPr>
                <w:sz w:val="21"/>
                <w:szCs w:val="21"/>
              </w:rPr>
            </w:pPr>
            <w:r>
              <w:rPr>
                <w:rFonts w:hint="eastAsia"/>
                <w:sz w:val="21"/>
                <w:szCs w:val="21"/>
              </w:rPr>
              <w:t>2应用广度</w:t>
            </w:r>
          </w:p>
          <w:p>
            <w:pPr>
              <w:pStyle w:val="13"/>
              <w:ind w:left="240"/>
              <w:jc w:val="center"/>
              <w:rPr>
                <w:sz w:val="21"/>
                <w:szCs w:val="21"/>
              </w:rPr>
            </w:pPr>
            <w:r>
              <w:rPr>
                <w:rFonts w:hint="eastAsia"/>
                <w:sz w:val="21"/>
                <w:szCs w:val="21"/>
              </w:rPr>
              <w:t>(</w:t>
            </w:r>
            <w:r>
              <w:rPr>
                <w:sz w:val="21"/>
                <w:szCs w:val="21"/>
              </w:rPr>
              <w:t>20</w:t>
            </w:r>
            <w:r>
              <w:rPr>
                <w:rFonts w:hint="eastAsia"/>
                <w:sz w:val="21"/>
                <w:szCs w:val="21"/>
              </w:rPr>
              <w:t>分</w:t>
            </w:r>
            <w:r>
              <w:rPr>
                <w:rFonts w:hint="eastAsia"/>
                <w:sz w:val="21"/>
                <w:szCs w:val="21"/>
                <w:lang w:eastAsia="zh-CN"/>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2</w:t>
            </w:r>
            <w:r>
              <w:rPr>
                <w:sz w:val="21"/>
                <w:szCs w:val="21"/>
              </w:rPr>
              <w:t xml:space="preserve">-1 </w:t>
            </w:r>
            <w:r>
              <w:rPr>
                <w:rFonts w:hint="eastAsia"/>
                <w:sz w:val="21"/>
                <w:szCs w:val="21"/>
              </w:rPr>
              <w:t>本专业应用项目的情况</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1、必修课使用人数和学时数；</w:t>
            </w:r>
          </w:p>
          <w:p>
            <w:pPr>
              <w:pStyle w:val="13"/>
              <w:rPr>
                <w:sz w:val="21"/>
                <w:szCs w:val="21"/>
              </w:rPr>
            </w:pPr>
            <w:r>
              <w:rPr>
                <w:rFonts w:hint="eastAsia"/>
                <w:sz w:val="21"/>
                <w:szCs w:val="21"/>
              </w:rPr>
              <w:t>2、选修课使用人数和学时数。</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hint="eastAsia" w:ascii="Times New Roman"/>
                <w:sz w:val="21"/>
                <w:szCs w:val="21"/>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1047" w:type="dxa"/>
            <w:vMerge w:val="continue"/>
            <w:tcBorders>
              <w:left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2</w:t>
            </w:r>
            <w:r>
              <w:rPr>
                <w:sz w:val="21"/>
                <w:szCs w:val="21"/>
              </w:rPr>
              <w:t xml:space="preserve">-2 </w:t>
            </w:r>
            <w:r>
              <w:rPr>
                <w:rFonts w:hint="eastAsia"/>
                <w:sz w:val="21"/>
                <w:szCs w:val="21"/>
              </w:rPr>
              <w:t>本学科其他专业应用项目的情况</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1、使用项目的专业数；</w:t>
            </w:r>
          </w:p>
          <w:p>
            <w:pPr>
              <w:pStyle w:val="13"/>
              <w:rPr>
                <w:sz w:val="21"/>
                <w:szCs w:val="21"/>
              </w:rPr>
            </w:pPr>
            <w:r>
              <w:rPr>
                <w:rFonts w:hint="eastAsia"/>
                <w:sz w:val="21"/>
                <w:szCs w:val="21"/>
              </w:rPr>
              <w:t>2、涉及的人数和学时数。</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hint="eastAsia" w:ascii="Times New Roman"/>
                <w:sz w:val="21"/>
                <w:szCs w:val="21"/>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047" w:type="dxa"/>
            <w:vMerge w:val="continue"/>
            <w:tcBorders>
              <w:left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2</w:t>
            </w:r>
            <w:r>
              <w:rPr>
                <w:sz w:val="21"/>
                <w:szCs w:val="21"/>
              </w:rPr>
              <w:t xml:space="preserve">-3 </w:t>
            </w:r>
            <w:r>
              <w:rPr>
                <w:rFonts w:hint="eastAsia"/>
                <w:sz w:val="21"/>
                <w:szCs w:val="21"/>
              </w:rPr>
              <w:t>本校应用项目的情况</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1、是否由其他学科使用该项目；</w:t>
            </w:r>
          </w:p>
          <w:p>
            <w:pPr>
              <w:pStyle w:val="13"/>
              <w:rPr>
                <w:sz w:val="21"/>
                <w:szCs w:val="21"/>
              </w:rPr>
            </w:pPr>
            <w:r>
              <w:rPr>
                <w:sz w:val="21"/>
                <w:szCs w:val="21"/>
              </w:rPr>
              <w:t>2、使用情况</w:t>
            </w:r>
            <w:r>
              <w:rPr>
                <w:rFonts w:hint="eastAsia"/>
                <w:sz w:val="21"/>
                <w:szCs w:val="21"/>
              </w:rPr>
              <w:t>。</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hint="eastAsia" w:ascii="Times New Roman"/>
                <w:sz w:val="21"/>
                <w:szCs w:val="21"/>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047" w:type="dxa"/>
            <w:vMerge w:val="continue"/>
            <w:tcBorders>
              <w:left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sz w:val="21"/>
                <w:szCs w:val="21"/>
              </w:rPr>
              <w:t xml:space="preserve">2-4 </w:t>
            </w:r>
            <w:r>
              <w:rPr>
                <w:rFonts w:hint="eastAsia"/>
                <w:sz w:val="21"/>
                <w:szCs w:val="21"/>
              </w:rPr>
              <w:t>外校应用项目的情况</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1、兄弟院校将该项目用于实验教学的情况。</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sz w:val="21"/>
                <w:szCs w:val="21"/>
              </w:rPr>
            </w:pPr>
            <w:r>
              <w:rPr>
                <w:rFonts w:hint="eastAsia" w:ascii="Times New Roman"/>
                <w:sz w:val="21"/>
                <w:szCs w:val="21"/>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047" w:type="dxa"/>
            <w:vMerge w:val="continue"/>
            <w:tcBorders>
              <w:left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2</w:t>
            </w:r>
            <w:r>
              <w:rPr>
                <w:sz w:val="21"/>
                <w:szCs w:val="21"/>
              </w:rPr>
              <w:t xml:space="preserve">-5 </w:t>
            </w:r>
            <w:r>
              <w:rPr>
                <w:rFonts w:hint="eastAsia"/>
                <w:sz w:val="21"/>
                <w:szCs w:val="21"/>
              </w:rPr>
              <w:t>其他单位应用项目的情况</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1、相关行业将该项目用于科普或员工 培训的情况。</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sz w:val="21"/>
                <w:szCs w:val="21"/>
              </w:rPr>
            </w:pPr>
            <w:r>
              <w:rPr>
                <w:rFonts w:hint="eastAsia" w:ascii="Times New Roman"/>
                <w:sz w:val="21"/>
                <w:szCs w:val="21"/>
                <w:lang w:val="en-US" w:eastAsia="zh-CN"/>
              </w:rPr>
              <w:t>4</w:t>
            </w:r>
            <w:r>
              <w:rPr>
                <w:rFonts w:hint="eastAsia" w:ascii="Times New Roman"/>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047" w:type="dxa"/>
            <w:vMerge w:val="restart"/>
            <w:tcBorders>
              <w:left w:val="single" w:color="000000" w:sz="4" w:space="0"/>
              <w:right w:val="single" w:color="000000" w:sz="4" w:space="0"/>
            </w:tcBorders>
            <w:vAlign w:val="center"/>
          </w:tcPr>
          <w:p>
            <w:pPr>
              <w:pStyle w:val="13"/>
              <w:jc w:val="center"/>
              <w:rPr>
                <w:sz w:val="21"/>
                <w:szCs w:val="21"/>
              </w:rPr>
            </w:pPr>
            <w:r>
              <w:rPr>
                <w:rFonts w:hint="eastAsia"/>
                <w:sz w:val="21"/>
                <w:szCs w:val="21"/>
              </w:rPr>
              <w:t>3</w:t>
            </w:r>
            <w:r>
              <w:rPr>
                <w:sz w:val="21"/>
                <w:szCs w:val="21"/>
              </w:rPr>
              <w:t xml:space="preserve"> </w:t>
            </w:r>
            <w:r>
              <w:rPr>
                <w:rFonts w:hint="eastAsia"/>
                <w:sz w:val="21"/>
                <w:szCs w:val="21"/>
              </w:rPr>
              <w:t>应用效度</w:t>
            </w:r>
          </w:p>
          <w:p>
            <w:pPr>
              <w:pStyle w:val="13"/>
              <w:rPr>
                <w:sz w:val="21"/>
                <w:szCs w:val="21"/>
              </w:rPr>
            </w:pPr>
            <w:r>
              <w:rPr>
                <w:rFonts w:hint="eastAsia"/>
                <w:sz w:val="21"/>
                <w:szCs w:val="21"/>
              </w:rPr>
              <w:t>（3</w:t>
            </w:r>
            <w:r>
              <w:rPr>
                <w:sz w:val="21"/>
                <w:szCs w:val="21"/>
              </w:rPr>
              <w:t>0</w:t>
            </w:r>
            <w:r>
              <w:rPr>
                <w:rFonts w:hint="eastAsia"/>
                <w:sz w:val="21"/>
                <w:szCs w:val="21"/>
              </w:rPr>
              <w:t>分）</w:t>
            </w: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3</w:t>
            </w:r>
            <w:r>
              <w:rPr>
                <w:sz w:val="21"/>
                <w:szCs w:val="21"/>
              </w:rPr>
              <w:t xml:space="preserve">-1 </w:t>
            </w:r>
            <w:r>
              <w:rPr>
                <w:rFonts w:hint="eastAsia"/>
                <w:sz w:val="21"/>
                <w:szCs w:val="21"/>
              </w:rPr>
              <w:t>虚拟实验填补实验教学空白</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1、通过使用虚拟实验，填补了原有实验教学体系的空白，更好的支撑了课堂教学。</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hint="eastAsia" w:ascii="Times New Roman"/>
                <w:sz w:val="21"/>
                <w:szCs w:val="21"/>
              </w:rPr>
            </w:pPr>
            <w:r>
              <w:rPr>
                <w:rFonts w:hint="eastAsia" w:ascii="Times New Roman"/>
                <w:sz w:val="21"/>
                <w:szCs w:val="21"/>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047" w:type="dxa"/>
            <w:vMerge w:val="continue"/>
            <w:tcBorders>
              <w:left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sz w:val="21"/>
                <w:szCs w:val="21"/>
              </w:rPr>
              <w:t xml:space="preserve">3-2 </w:t>
            </w:r>
            <w:r>
              <w:rPr>
                <w:rFonts w:hint="eastAsia"/>
                <w:sz w:val="21"/>
                <w:szCs w:val="21"/>
              </w:rPr>
              <w:t>虚拟实验优化原有实验教学 环节</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1、通过使用虚拟实验，提高了原实验教学环节的效率；</w:t>
            </w:r>
          </w:p>
          <w:p>
            <w:pPr>
              <w:pStyle w:val="13"/>
              <w:rPr>
                <w:sz w:val="21"/>
                <w:szCs w:val="21"/>
              </w:rPr>
            </w:pPr>
            <w:r>
              <w:rPr>
                <w:rFonts w:hint="eastAsia"/>
                <w:sz w:val="21"/>
                <w:szCs w:val="21"/>
              </w:rPr>
              <w:t>2、通过使用虚拟实验，丰富了教学手段，拓展课学生动手能力培养方式。</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ascii="Times New Roman"/>
                <w:sz w:val="21"/>
                <w:szCs w:val="21"/>
              </w:rPr>
              <w:t>6</w:t>
            </w:r>
            <w:r>
              <w:rPr>
                <w:rFonts w:hint="eastAsia" w:ascii="Times New Roman"/>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047" w:type="dxa"/>
            <w:vMerge w:val="continue"/>
            <w:tcBorders>
              <w:left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13"/>
              <w:jc w:val="center"/>
              <w:rPr>
                <w:sz w:val="21"/>
                <w:szCs w:val="21"/>
              </w:rPr>
            </w:pPr>
            <w:r>
              <w:rPr>
                <w:rFonts w:hint="eastAsia"/>
                <w:sz w:val="21"/>
                <w:szCs w:val="21"/>
              </w:rPr>
              <w:t>3</w:t>
            </w:r>
            <w:r>
              <w:rPr>
                <w:sz w:val="21"/>
                <w:szCs w:val="21"/>
              </w:rPr>
              <w:t xml:space="preserve">-3 </w:t>
            </w:r>
            <w:r>
              <w:rPr>
                <w:rFonts w:hint="eastAsia"/>
                <w:sz w:val="21"/>
                <w:szCs w:val="21"/>
              </w:rPr>
              <w:t>虚拟实验的实际教学效果</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1、通过虚拟实验，学生对理论教学知识点的掌握是否得到加强；</w:t>
            </w:r>
          </w:p>
          <w:p>
            <w:pPr>
              <w:pStyle w:val="13"/>
              <w:rPr>
                <w:sz w:val="21"/>
                <w:szCs w:val="21"/>
              </w:rPr>
            </w:pPr>
            <w:r>
              <w:rPr>
                <w:rFonts w:hint="eastAsia"/>
                <w:sz w:val="21"/>
                <w:szCs w:val="21"/>
              </w:rPr>
              <w:t>2、通过虚拟实验，学生对实验原理、流程和操作是</w:t>
            </w:r>
            <w:r>
              <w:rPr>
                <w:rFonts w:hint="eastAsia"/>
                <w:color w:val="auto"/>
                <w:sz w:val="21"/>
                <w:szCs w:val="21"/>
              </w:rPr>
              <w:t>否</w:t>
            </w:r>
            <w:r>
              <w:rPr>
                <w:rFonts w:hint="eastAsia"/>
                <w:color w:val="auto"/>
                <w:sz w:val="21"/>
                <w:szCs w:val="21"/>
                <w:lang w:eastAsia="zh-CN"/>
              </w:rPr>
              <w:t>有效地掌握</w:t>
            </w:r>
            <w:r>
              <w:rPr>
                <w:rFonts w:hint="eastAsia"/>
                <w:color w:val="auto"/>
                <w:sz w:val="21"/>
                <w:szCs w:val="21"/>
              </w:rPr>
              <w:t>和模拟训练；</w:t>
            </w:r>
          </w:p>
          <w:p>
            <w:pPr>
              <w:pStyle w:val="13"/>
              <w:rPr>
                <w:sz w:val="21"/>
                <w:szCs w:val="21"/>
              </w:rPr>
            </w:pPr>
            <w:r>
              <w:rPr>
                <w:rFonts w:hint="eastAsia"/>
                <w:sz w:val="21"/>
                <w:szCs w:val="21"/>
              </w:rPr>
              <w:t>3、通过虚拟实验，对学生综合分析问题和解决问题能力的培养效果；</w:t>
            </w:r>
          </w:p>
          <w:p>
            <w:pPr>
              <w:pStyle w:val="13"/>
              <w:rPr>
                <w:sz w:val="21"/>
                <w:szCs w:val="21"/>
              </w:rPr>
            </w:pPr>
            <w:r>
              <w:rPr>
                <w:rFonts w:hint="eastAsia"/>
                <w:sz w:val="21"/>
                <w:szCs w:val="21"/>
              </w:rPr>
              <w:t>4、学生评价与反馈。</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hint="eastAsia" w:ascii="Times New Roman"/>
                <w:sz w:val="21"/>
                <w:szCs w:val="21"/>
                <w:lang w:val="en-US" w:eastAsia="zh-CN"/>
              </w:rPr>
              <w:t>20</w:t>
            </w:r>
            <w:r>
              <w:rPr>
                <w:rFonts w:hint="eastAsia" w:ascii="Times New Roman"/>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047" w:type="dxa"/>
            <w:vMerge w:val="restart"/>
            <w:tcBorders>
              <w:left w:val="single" w:color="000000" w:sz="4" w:space="0"/>
              <w:right w:val="single" w:color="000000" w:sz="4" w:space="0"/>
            </w:tcBorders>
            <w:vAlign w:val="center"/>
          </w:tcPr>
          <w:p>
            <w:pPr>
              <w:pStyle w:val="13"/>
              <w:rPr>
                <w:sz w:val="21"/>
                <w:szCs w:val="21"/>
              </w:rPr>
            </w:pPr>
            <w:r>
              <w:rPr>
                <w:rFonts w:hint="eastAsia"/>
                <w:sz w:val="21"/>
                <w:szCs w:val="21"/>
              </w:rPr>
              <w:t>4保障机制</w:t>
            </w:r>
          </w:p>
          <w:p>
            <w:pPr>
              <w:pStyle w:val="13"/>
              <w:rPr>
                <w:sz w:val="21"/>
                <w:szCs w:val="21"/>
              </w:rPr>
            </w:pPr>
            <w:r>
              <w:rPr>
                <w:rFonts w:hint="eastAsia"/>
                <w:sz w:val="21"/>
                <w:szCs w:val="21"/>
              </w:rPr>
              <w:t>（2</w:t>
            </w:r>
            <w:r>
              <w:rPr>
                <w:sz w:val="21"/>
                <w:szCs w:val="21"/>
              </w:rPr>
              <w:t>0</w:t>
            </w:r>
            <w:r>
              <w:rPr>
                <w:rFonts w:hint="eastAsia"/>
                <w:sz w:val="21"/>
                <w:szCs w:val="21"/>
              </w:rPr>
              <w:t>分）</w:t>
            </w:r>
          </w:p>
        </w:tc>
        <w:tc>
          <w:tcPr>
            <w:tcW w:w="1417" w:type="dxa"/>
            <w:tcBorders>
              <w:top w:val="single" w:color="000000" w:sz="4" w:space="0"/>
              <w:left w:val="single" w:color="000000" w:sz="4" w:space="0"/>
              <w:bottom w:val="single" w:color="000000" w:sz="4" w:space="0"/>
              <w:right w:val="single" w:color="000000" w:sz="4" w:space="0"/>
            </w:tcBorders>
          </w:tcPr>
          <w:p>
            <w:pPr>
              <w:pStyle w:val="13"/>
              <w:jc w:val="center"/>
              <w:rPr>
                <w:sz w:val="21"/>
                <w:szCs w:val="21"/>
              </w:rPr>
            </w:pPr>
            <w:r>
              <w:rPr>
                <w:rFonts w:hint="eastAsia"/>
                <w:sz w:val="21"/>
                <w:szCs w:val="21"/>
              </w:rPr>
              <w:t>4</w:t>
            </w:r>
            <w:r>
              <w:rPr>
                <w:sz w:val="21"/>
                <w:szCs w:val="21"/>
              </w:rPr>
              <w:t>-1 应用与服务团队建</w:t>
            </w:r>
            <w:r>
              <w:rPr>
                <w:rFonts w:hint="eastAsia"/>
                <w:sz w:val="21"/>
                <w:szCs w:val="21"/>
              </w:rPr>
              <w:t>设</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w:t>
            </w:r>
            <w:r>
              <w:rPr>
                <w:sz w:val="21"/>
                <w:szCs w:val="21"/>
              </w:rPr>
              <w:t>是否有稳定的团队负责项目的开发与持续建设，力量是否充足，是否具有多元化的背景，分工是否明确。</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hint="eastAsia" w:ascii="Times New Roman"/>
                <w:sz w:val="21"/>
                <w:szCs w:val="21"/>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047" w:type="dxa"/>
            <w:vMerge w:val="continue"/>
            <w:tcBorders>
              <w:left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tcPr>
          <w:p>
            <w:pPr>
              <w:pStyle w:val="13"/>
              <w:jc w:val="center"/>
              <w:rPr>
                <w:sz w:val="21"/>
                <w:szCs w:val="21"/>
              </w:rPr>
            </w:pPr>
            <w:r>
              <w:rPr>
                <w:rFonts w:hint="eastAsia"/>
                <w:sz w:val="21"/>
                <w:szCs w:val="21"/>
              </w:rPr>
              <w:t>4</w:t>
            </w:r>
            <w:r>
              <w:rPr>
                <w:sz w:val="21"/>
                <w:szCs w:val="21"/>
              </w:rPr>
              <w:t>-2 政策性支撑措施</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sz w:val="21"/>
                <w:szCs w:val="21"/>
              </w:rPr>
              <w:t>1、对虚拟仿真项目建设的持续投入；</w:t>
            </w:r>
          </w:p>
          <w:p>
            <w:pPr>
              <w:pStyle w:val="13"/>
              <w:rPr>
                <w:sz w:val="21"/>
                <w:szCs w:val="21"/>
              </w:rPr>
            </w:pPr>
            <w:r>
              <w:rPr>
                <w:sz w:val="21"/>
                <w:szCs w:val="21"/>
              </w:rPr>
              <w:t>2、对学生使用虚拟项目是否有学分或学时</w:t>
            </w:r>
            <w:r>
              <w:rPr>
                <w:rFonts w:hint="eastAsia"/>
                <w:sz w:val="21"/>
                <w:szCs w:val="21"/>
              </w:rPr>
              <w:t>认定；</w:t>
            </w:r>
          </w:p>
          <w:p>
            <w:pPr>
              <w:pStyle w:val="13"/>
              <w:rPr>
                <w:sz w:val="21"/>
                <w:szCs w:val="21"/>
              </w:rPr>
            </w:pPr>
            <w:r>
              <w:rPr>
                <w:rFonts w:hint="eastAsia"/>
                <w:sz w:val="21"/>
                <w:szCs w:val="21"/>
              </w:rPr>
              <w:t>3、对教师参与开发和持续建设虚拟项目是</w:t>
            </w:r>
            <w:r>
              <w:rPr>
                <w:sz w:val="21"/>
                <w:szCs w:val="21"/>
              </w:rPr>
              <w:t>否计算工作量；</w:t>
            </w:r>
          </w:p>
          <w:p>
            <w:pPr>
              <w:pStyle w:val="13"/>
              <w:rPr>
                <w:sz w:val="21"/>
                <w:szCs w:val="21"/>
              </w:rPr>
            </w:pPr>
            <w:r>
              <w:rPr>
                <w:sz w:val="21"/>
                <w:szCs w:val="21"/>
              </w:rPr>
              <w:t>4、项目认定或应用过程中取得的成绩如何认可</w:t>
            </w:r>
            <w:r>
              <w:rPr>
                <w:rFonts w:hint="eastAsia"/>
                <w:sz w:val="21"/>
                <w:szCs w:val="21"/>
              </w:rPr>
              <w:t>；</w:t>
            </w:r>
          </w:p>
          <w:p>
            <w:pPr>
              <w:pStyle w:val="13"/>
              <w:rPr>
                <w:sz w:val="21"/>
                <w:szCs w:val="21"/>
              </w:rPr>
            </w:pPr>
            <w:r>
              <w:rPr>
                <w:sz w:val="21"/>
                <w:szCs w:val="21"/>
              </w:rPr>
              <w:t>5、学分互认机制</w:t>
            </w:r>
            <w:r>
              <w:rPr>
                <w:rFonts w:hint="eastAsia"/>
                <w:sz w:val="21"/>
                <w:szCs w:val="21"/>
              </w:rPr>
              <w:t>。</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hint="eastAsia" w:ascii="Times New Roman"/>
                <w:sz w:val="21"/>
                <w:szCs w:val="21"/>
              </w:rPr>
              <w:t>1</w:t>
            </w:r>
            <w:r>
              <w:rPr>
                <w:rFonts w:ascii="Times New Roman"/>
                <w:sz w:val="21"/>
                <w:szCs w:val="21"/>
              </w:rPr>
              <w:t>0</w:t>
            </w:r>
            <w:r>
              <w:rPr>
                <w:rFonts w:hint="eastAsia" w:ascii="Times New Roman"/>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047" w:type="dxa"/>
            <w:vMerge w:val="continue"/>
            <w:tcBorders>
              <w:left w:val="single" w:color="000000" w:sz="4" w:space="0"/>
              <w:bottom w:val="single" w:color="000000" w:sz="4" w:space="0"/>
              <w:right w:val="single" w:color="000000" w:sz="4" w:space="0"/>
            </w:tcBorders>
            <w:vAlign w:val="center"/>
          </w:tcPr>
          <w:p>
            <w:pPr>
              <w:widowControl/>
              <w:jc w:val="center"/>
              <w:rPr>
                <w:rFonts w:ascii="微软雅黑" w:hAnsi="微软雅黑" w:eastAsia="微软雅黑" w:cs="Times New Roman"/>
                <w:sz w:val="21"/>
                <w:szCs w:val="21"/>
              </w:rPr>
            </w:pPr>
          </w:p>
        </w:tc>
        <w:tc>
          <w:tcPr>
            <w:tcW w:w="1417" w:type="dxa"/>
            <w:tcBorders>
              <w:top w:val="single" w:color="000000" w:sz="4" w:space="0"/>
              <w:left w:val="single" w:color="000000" w:sz="4" w:space="0"/>
              <w:bottom w:val="single" w:color="000000" w:sz="4" w:space="0"/>
              <w:right w:val="single" w:color="000000" w:sz="4" w:space="0"/>
            </w:tcBorders>
          </w:tcPr>
          <w:p>
            <w:pPr>
              <w:pStyle w:val="13"/>
              <w:jc w:val="center"/>
              <w:rPr>
                <w:sz w:val="21"/>
                <w:szCs w:val="21"/>
              </w:rPr>
            </w:pPr>
            <w:r>
              <w:rPr>
                <w:rFonts w:hint="eastAsia"/>
                <w:sz w:val="21"/>
                <w:szCs w:val="21"/>
              </w:rPr>
              <w:t>4</w:t>
            </w:r>
            <w:r>
              <w:rPr>
                <w:sz w:val="21"/>
                <w:szCs w:val="21"/>
              </w:rPr>
              <w:t>-3 服务性保障措施</w:t>
            </w:r>
          </w:p>
        </w:tc>
        <w:tc>
          <w:tcPr>
            <w:tcW w:w="6005" w:type="dxa"/>
            <w:tcBorders>
              <w:top w:val="single" w:color="000000" w:sz="4" w:space="0"/>
              <w:left w:val="single" w:color="000000" w:sz="4" w:space="0"/>
              <w:bottom w:val="single" w:color="000000" w:sz="4" w:space="0"/>
              <w:right w:val="single" w:color="000000" w:sz="4" w:space="0"/>
            </w:tcBorders>
            <w:vAlign w:val="center"/>
          </w:tcPr>
          <w:p>
            <w:pPr>
              <w:pStyle w:val="13"/>
              <w:rPr>
                <w:sz w:val="21"/>
                <w:szCs w:val="21"/>
              </w:rPr>
            </w:pPr>
            <w:r>
              <w:rPr>
                <w:rFonts w:hint="eastAsia"/>
                <w:sz w:val="21"/>
                <w:szCs w:val="21"/>
              </w:rPr>
              <w:t>1、</w:t>
            </w:r>
            <w:r>
              <w:rPr>
                <w:sz w:val="21"/>
                <w:szCs w:val="21"/>
              </w:rPr>
              <w:t>鼓励项目应用和共享服务的激励措施，包括收费和成本补偿机制，人员激励等</w:t>
            </w:r>
            <w:r>
              <w:rPr>
                <w:rFonts w:hint="eastAsia"/>
                <w:sz w:val="21"/>
                <w:szCs w:val="21"/>
              </w:rPr>
              <w:t>。</w:t>
            </w:r>
          </w:p>
        </w:tc>
        <w:tc>
          <w:tcPr>
            <w:tcW w:w="672" w:type="dxa"/>
            <w:tcBorders>
              <w:top w:val="single" w:color="000000" w:sz="4" w:space="0"/>
              <w:left w:val="single" w:color="000000" w:sz="4" w:space="0"/>
              <w:bottom w:val="single" w:color="000000" w:sz="4" w:space="0"/>
              <w:right w:val="single" w:color="000000" w:sz="4" w:space="0"/>
            </w:tcBorders>
            <w:vAlign w:val="center"/>
          </w:tcPr>
          <w:p>
            <w:pPr>
              <w:pStyle w:val="13"/>
              <w:jc w:val="center"/>
              <w:rPr>
                <w:rFonts w:ascii="Times New Roman"/>
                <w:sz w:val="21"/>
                <w:szCs w:val="21"/>
              </w:rPr>
            </w:pPr>
            <w:r>
              <w:rPr>
                <w:rFonts w:hint="eastAsia" w:ascii="Times New Roman"/>
                <w:sz w:val="21"/>
                <w:szCs w:val="21"/>
              </w:rPr>
              <w:t>5分</w:t>
            </w:r>
          </w:p>
        </w:tc>
      </w:tr>
    </w:tbl>
    <w:p>
      <w:pPr>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br w:type="page"/>
      </w:r>
    </w:p>
    <w:p>
      <w:pPr>
        <w:spacing w:before="156" w:beforeLines="50" w:after="156" w:afterLines="50" w:line="570" w:lineRule="exact"/>
        <w:jc w:val="center"/>
        <w:rPr>
          <w:rFonts w:ascii="方正小标宋简体" w:hAnsi="方正小标宋简体" w:eastAsia="方正小标宋简体" w:cs="方正小标宋简体"/>
          <w:sz w:val="32"/>
          <w:szCs w:val="32"/>
        </w:rPr>
        <w:sectPr>
          <w:pgSz w:w="11906" w:h="16838"/>
          <w:pgMar w:top="1134" w:right="1587" w:bottom="1134" w:left="1587" w:header="851" w:footer="992" w:gutter="0"/>
          <w:cols w:space="720" w:num="1"/>
          <w:docGrid w:type="linesAndChars" w:linePitch="312" w:charSpace="0"/>
        </w:sectPr>
      </w:pPr>
    </w:p>
    <w:p>
      <w:pPr>
        <w:spacing w:after="156" w:afterLines="50" w:line="57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（五）北海艺术设计学院社会实践一流课程建设标准</w:t>
      </w:r>
    </w:p>
    <w:tbl>
      <w:tblPr>
        <w:tblStyle w:val="6"/>
        <w:tblW w:w="91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9"/>
        <w:gridCol w:w="1417"/>
        <w:gridCol w:w="5638"/>
        <w:gridCol w:w="1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1049" w:type="dxa"/>
            <w:vAlign w:val="center"/>
          </w:tcPr>
          <w:p>
            <w:pPr>
              <w:pStyle w:val="13"/>
              <w:jc w:val="center"/>
              <w:rPr>
                <w:b/>
                <w:szCs w:val="21"/>
              </w:rPr>
            </w:pPr>
            <w:bookmarkStart w:id="35" w:name="_Hlk95378298"/>
            <w:r>
              <w:rPr>
                <w:b/>
                <w:szCs w:val="21"/>
              </w:rPr>
              <w:t>一级指标</w:t>
            </w:r>
          </w:p>
        </w:tc>
        <w:tc>
          <w:tcPr>
            <w:tcW w:w="1417" w:type="dxa"/>
            <w:vAlign w:val="center"/>
          </w:tcPr>
          <w:p>
            <w:pPr>
              <w:pStyle w:val="13"/>
              <w:jc w:val="center"/>
              <w:rPr>
                <w:b/>
                <w:szCs w:val="21"/>
              </w:rPr>
            </w:pPr>
            <w:r>
              <w:rPr>
                <w:b/>
                <w:szCs w:val="21"/>
              </w:rPr>
              <w:t>二级指标</w:t>
            </w:r>
          </w:p>
        </w:tc>
        <w:tc>
          <w:tcPr>
            <w:tcW w:w="5638" w:type="dxa"/>
            <w:vAlign w:val="center"/>
          </w:tcPr>
          <w:p>
            <w:pPr>
              <w:pStyle w:val="13"/>
              <w:jc w:val="center"/>
              <w:rPr>
                <w:b/>
                <w:szCs w:val="21"/>
              </w:rPr>
            </w:pPr>
            <w:r>
              <w:rPr>
                <w:b/>
                <w:szCs w:val="21"/>
              </w:rPr>
              <w:t>基本要求</w:t>
            </w:r>
          </w:p>
        </w:tc>
        <w:tc>
          <w:tcPr>
            <w:tcW w:w="1023" w:type="dxa"/>
            <w:vAlign w:val="center"/>
          </w:tcPr>
          <w:p>
            <w:pPr>
              <w:pStyle w:val="13"/>
              <w:jc w:val="center"/>
              <w:rPr>
                <w:b/>
                <w:szCs w:val="21"/>
              </w:rPr>
            </w:pPr>
            <w:r>
              <w:rPr>
                <w:b/>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jc w:val="center"/>
        </w:trPr>
        <w:tc>
          <w:tcPr>
            <w:tcW w:w="1049" w:type="dxa"/>
            <w:vMerge w:val="restart"/>
            <w:vAlign w:val="center"/>
          </w:tcPr>
          <w:p>
            <w:pPr>
              <w:pStyle w:val="13"/>
              <w:jc w:val="center"/>
              <w:rPr>
                <w:sz w:val="22"/>
              </w:rPr>
            </w:pPr>
            <w:r>
              <w:rPr>
                <w:sz w:val="22"/>
              </w:rPr>
              <w:t>1 课程团队</w:t>
            </w:r>
          </w:p>
          <w:p>
            <w:pPr>
              <w:pStyle w:val="13"/>
              <w:jc w:val="center"/>
              <w:rPr>
                <w:sz w:val="22"/>
              </w:rPr>
            </w:pPr>
            <w:r>
              <w:rPr>
                <w:rFonts w:hint="eastAsia"/>
                <w:sz w:val="22"/>
              </w:rPr>
              <w:t>（</w:t>
            </w:r>
            <w:r>
              <w:rPr>
                <w:rFonts w:hint="eastAsia"/>
                <w:sz w:val="22"/>
                <w:lang w:val="en-US"/>
              </w:rPr>
              <w:t>15</w:t>
            </w:r>
            <w:r>
              <w:rPr>
                <w:rFonts w:hint="eastAsia"/>
                <w:sz w:val="22"/>
              </w:rPr>
              <w:t>）</w:t>
            </w:r>
          </w:p>
        </w:tc>
        <w:tc>
          <w:tcPr>
            <w:tcW w:w="1417" w:type="dxa"/>
            <w:vAlign w:val="center"/>
          </w:tcPr>
          <w:p>
            <w:pPr>
              <w:pStyle w:val="13"/>
              <w:jc w:val="center"/>
              <w:rPr>
                <w:sz w:val="22"/>
              </w:rPr>
            </w:pPr>
            <w:r>
              <w:rPr>
                <w:sz w:val="22"/>
              </w:rPr>
              <w:t>1-1 课程</w:t>
            </w:r>
          </w:p>
          <w:p>
            <w:pPr>
              <w:pStyle w:val="13"/>
              <w:jc w:val="center"/>
              <w:rPr>
                <w:sz w:val="22"/>
              </w:rPr>
            </w:pPr>
            <w:r>
              <w:rPr>
                <w:sz w:val="22"/>
              </w:rPr>
              <w:t>负责人</w:t>
            </w:r>
          </w:p>
        </w:tc>
        <w:tc>
          <w:tcPr>
            <w:tcW w:w="5638" w:type="dxa"/>
            <w:vAlign w:val="center"/>
          </w:tcPr>
          <w:p>
            <w:pPr>
              <w:pStyle w:val="13"/>
              <w:jc w:val="left"/>
              <w:rPr>
                <w:szCs w:val="21"/>
              </w:rPr>
            </w:pPr>
            <w:r>
              <w:rPr>
                <w:szCs w:val="21"/>
              </w:rPr>
              <w:t>具有丰富的教学经验和较高学术造诣，教学水平高，积极探索课程改革，有一定影响度。</w:t>
            </w:r>
          </w:p>
        </w:tc>
        <w:tc>
          <w:tcPr>
            <w:tcW w:w="1023" w:type="dxa"/>
            <w:vAlign w:val="center"/>
          </w:tcPr>
          <w:p>
            <w:pPr>
              <w:pStyle w:val="13"/>
              <w:jc w:val="center"/>
              <w:rPr>
                <w:sz w:val="22"/>
              </w:rPr>
            </w:pPr>
            <w:r>
              <w:rPr>
                <w:sz w:val="22"/>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1049" w:type="dxa"/>
            <w:vMerge w:val="continue"/>
            <w:tcBorders>
              <w:top w:val="nil"/>
            </w:tcBorders>
            <w:vAlign w:val="center"/>
          </w:tcPr>
          <w:p>
            <w:pPr>
              <w:jc w:val="center"/>
              <w:rPr>
                <w:sz w:val="2"/>
                <w:szCs w:val="2"/>
              </w:rPr>
            </w:pPr>
          </w:p>
        </w:tc>
        <w:tc>
          <w:tcPr>
            <w:tcW w:w="1417" w:type="dxa"/>
            <w:vAlign w:val="center"/>
          </w:tcPr>
          <w:p>
            <w:pPr>
              <w:pStyle w:val="13"/>
              <w:jc w:val="center"/>
              <w:rPr>
                <w:sz w:val="22"/>
              </w:rPr>
            </w:pPr>
            <w:r>
              <w:rPr>
                <w:sz w:val="22"/>
              </w:rPr>
              <w:t>1-2 团队成员</w:t>
            </w:r>
          </w:p>
        </w:tc>
        <w:tc>
          <w:tcPr>
            <w:tcW w:w="5638" w:type="dxa"/>
            <w:vAlign w:val="center"/>
          </w:tcPr>
          <w:p>
            <w:pPr>
              <w:pStyle w:val="13"/>
              <w:jc w:val="left"/>
              <w:rPr>
                <w:szCs w:val="21"/>
              </w:rPr>
            </w:pPr>
            <w:r>
              <w:rPr>
                <w:szCs w:val="21"/>
              </w:rPr>
              <w:t>以思想政治理论课、专业课等主讲教师为主，团委及学生工作教师为辅，组织社会实践课程设计；同时在社会实践整个课程计划的实施过程中，还应积极聘请社会实践基地经验丰富的人员担任社会实践的校外辅导员，参与课程设计并指导实践活动。</w:t>
            </w:r>
          </w:p>
        </w:tc>
        <w:tc>
          <w:tcPr>
            <w:tcW w:w="1023" w:type="dxa"/>
            <w:vAlign w:val="center"/>
          </w:tcPr>
          <w:p>
            <w:pPr>
              <w:pStyle w:val="13"/>
              <w:jc w:val="center"/>
              <w:rPr>
                <w:sz w:val="22"/>
              </w:rPr>
            </w:pPr>
            <w:r>
              <w:rPr>
                <w:sz w:val="22"/>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1049" w:type="dxa"/>
            <w:vMerge w:val="continue"/>
            <w:tcBorders>
              <w:top w:val="nil"/>
            </w:tcBorders>
            <w:vAlign w:val="center"/>
          </w:tcPr>
          <w:p>
            <w:pPr>
              <w:jc w:val="center"/>
              <w:rPr>
                <w:sz w:val="2"/>
                <w:szCs w:val="2"/>
              </w:rPr>
            </w:pPr>
          </w:p>
        </w:tc>
        <w:tc>
          <w:tcPr>
            <w:tcW w:w="1417" w:type="dxa"/>
            <w:vAlign w:val="center"/>
          </w:tcPr>
          <w:p>
            <w:pPr>
              <w:pStyle w:val="13"/>
              <w:jc w:val="center"/>
              <w:rPr>
                <w:sz w:val="22"/>
              </w:rPr>
            </w:pPr>
            <w:r>
              <w:rPr>
                <w:sz w:val="22"/>
              </w:rPr>
              <w:t>1-3 教学改革</w:t>
            </w:r>
          </w:p>
          <w:p>
            <w:pPr>
              <w:pStyle w:val="13"/>
              <w:jc w:val="center"/>
              <w:rPr>
                <w:sz w:val="22"/>
              </w:rPr>
            </w:pPr>
            <w:r>
              <w:rPr>
                <w:sz w:val="22"/>
              </w:rPr>
              <w:t>与成果</w:t>
            </w:r>
          </w:p>
        </w:tc>
        <w:tc>
          <w:tcPr>
            <w:tcW w:w="5638" w:type="dxa"/>
            <w:vAlign w:val="center"/>
          </w:tcPr>
          <w:p>
            <w:pPr>
              <w:pStyle w:val="13"/>
              <w:jc w:val="left"/>
              <w:rPr>
                <w:szCs w:val="21"/>
              </w:rPr>
            </w:pPr>
            <w:r>
              <w:rPr>
                <w:szCs w:val="21"/>
              </w:rPr>
              <w:t>教学思想活跃，教学改革有创意，教学成果显著。</w:t>
            </w:r>
          </w:p>
        </w:tc>
        <w:tc>
          <w:tcPr>
            <w:tcW w:w="1023" w:type="dxa"/>
            <w:vAlign w:val="center"/>
          </w:tcPr>
          <w:p>
            <w:pPr>
              <w:pStyle w:val="13"/>
              <w:jc w:val="center"/>
              <w:rPr>
                <w:sz w:val="22"/>
              </w:rPr>
            </w:pPr>
            <w:r>
              <w:rPr>
                <w:sz w:val="22"/>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jc w:val="center"/>
        </w:trPr>
        <w:tc>
          <w:tcPr>
            <w:tcW w:w="1049" w:type="dxa"/>
            <w:vMerge w:val="restart"/>
            <w:vAlign w:val="center"/>
          </w:tcPr>
          <w:p>
            <w:pPr>
              <w:pStyle w:val="13"/>
              <w:jc w:val="center"/>
              <w:rPr>
                <w:sz w:val="22"/>
              </w:rPr>
            </w:pPr>
            <w:r>
              <w:rPr>
                <w:sz w:val="22"/>
              </w:rPr>
              <w:t>2 课程教学设计</w:t>
            </w:r>
            <w:r>
              <w:rPr>
                <w:rFonts w:hint="eastAsia"/>
                <w:sz w:val="22"/>
              </w:rPr>
              <w:t>（</w:t>
            </w:r>
            <w:r>
              <w:rPr>
                <w:rFonts w:hint="eastAsia"/>
                <w:sz w:val="22"/>
                <w:lang w:val="en-US"/>
              </w:rPr>
              <w:t>50</w:t>
            </w:r>
            <w:r>
              <w:rPr>
                <w:rFonts w:hint="eastAsia"/>
                <w:sz w:val="22"/>
              </w:rPr>
              <w:t>）</w:t>
            </w:r>
          </w:p>
        </w:tc>
        <w:tc>
          <w:tcPr>
            <w:tcW w:w="1417" w:type="dxa"/>
            <w:vAlign w:val="center"/>
          </w:tcPr>
          <w:p>
            <w:pPr>
              <w:pStyle w:val="13"/>
              <w:jc w:val="center"/>
              <w:rPr>
                <w:sz w:val="22"/>
              </w:rPr>
            </w:pPr>
            <w:r>
              <w:rPr>
                <w:sz w:val="22"/>
              </w:rPr>
              <w:t>2-1 高阶性</w:t>
            </w:r>
          </w:p>
        </w:tc>
        <w:tc>
          <w:tcPr>
            <w:tcW w:w="5638" w:type="dxa"/>
            <w:vAlign w:val="center"/>
          </w:tcPr>
          <w:p>
            <w:pPr>
              <w:pStyle w:val="13"/>
              <w:jc w:val="left"/>
              <w:rPr>
                <w:szCs w:val="21"/>
              </w:rPr>
            </w:pPr>
            <w:r>
              <w:rPr>
                <w:szCs w:val="21"/>
              </w:rPr>
              <w:t>课程教学设计包含知识、能力、素质有机融合，能够提高学生的综合素质，加强对学生价值观的引导， 巩固社会主义核心价值观的影响和地位。</w:t>
            </w:r>
          </w:p>
        </w:tc>
        <w:tc>
          <w:tcPr>
            <w:tcW w:w="1023" w:type="dxa"/>
            <w:vAlign w:val="center"/>
          </w:tcPr>
          <w:p>
            <w:pPr>
              <w:pStyle w:val="13"/>
              <w:jc w:val="center"/>
              <w:rPr>
                <w:sz w:val="22"/>
              </w:rPr>
            </w:pPr>
            <w:r>
              <w:rPr>
                <w:sz w:val="22"/>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jc w:val="center"/>
        </w:trPr>
        <w:tc>
          <w:tcPr>
            <w:tcW w:w="1049" w:type="dxa"/>
            <w:vMerge w:val="continue"/>
            <w:tcBorders>
              <w:top w:val="nil"/>
            </w:tcBorders>
            <w:vAlign w:val="center"/>
          </w:tcPr>
          <w:p>
            <w:pPr>
              <w:jc w:val="center"/>
              <w:rPr>
                <w:sz w:val="2"/>
                <w:szCs w:val="2"/>
              </w:rPr>
            </w:pPr>
          </w:p>
        </w:tc>
        <w:tc>
          <w:tcPr>
            <w:tcW w:w="1417" w:type="dxa"/>
            <w:vAlign w:val="center"/>
          </w:tcPr>
          <w:p>
            <w:pPr>
              <w:pStyle w:val="13"/>
              <w:jc w:val="center"/>
              <w:rPr>
                <w:sz w:val="22"/>
              </w:rPr>
            </w:pPr>
            <w:r>
              <w:rPr>
                <w:sz w:val="22"/>
              </w:rPr>
              <w:t>2-2 创新性</w:t>
            </w:r>
          </w:p>
        </w:tc>
        <w:tc>
          <w:tcPr>
            <w:tcW w:w="5638" w:type="dxa"/>
            <w:vAlign w:val="center"/>
          </w:tcPr>
          <w:p>
            <w:pPr>
              <w:pStyle w:val="13"/>
              <w:jc w:val="left"/>
              <w:rPr>
                <w:szCs w:val="21"/>
              </w:rPr>
            </w:pPr>
            <w:r>
              <w:rPr>
                <w:szCs w:val="21"/>
              </w:rPr>
              <w:t>课程内容有前沿性和时代性并持续更新，教学形式体现先进性、多样性和互动性。能推进现代信息技术与实践教学项目融合、拓展实践教学内容广度和深度。</w:t>
            </w:r>
          </w:p>
        </w:tc>
        <w:tc>
          <w:tcPr>
            <w:tcW w:w="1023" w:type="dxa"/>
            <w:vAlign w:val="center"/>
          </w:tcPr>
          <w:p>
            <w:pPr>
              <w:pStyle w:val="13"/>
              <w:jc w:val="center"/>
              <w:rPr>
                <w:sz w:val="22"/>
              </w:rPr>
            </w:pPr>
            <w:r>
              <w:rPr>
                <w:sz w:val="22"/>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jc w:val="center"/>
        </w:trPr>
        <w:tc>
          <w:tcPr>
            <w:tcW w:w="1049" w:type="dxa"/>
            <w:vMerge w:val="continue"/>
            <w:tcBorders>
              <w:top w:val="nil"/>
            </w:tcBorders>
            <w:vAlign w:val="center"/>
          </w:tcPr>
          <w:p>
            <w:pPr>
              <w:jc w:val="center"/>
              <w:rPr>
                <w:sz w:val="2"/>
                <w:szCs w:val="2"/>
              </w:rPr>
            </w:pPr>
          </w:p>
        </w:tc>
        <w:tc>
          <w:tcPr>
            <w:tcW w:w="1417" w:type="dxa"/>
            <w:vAlign w:val="center"/>
          </w:tcPr>
          <w:p>
            <w:pPr>
              <w:pStyle w:val="13"/>
              <w:jc w:val="center"/>
              <w:rPr>
                <w:sz w:val="22"/>
              </w:rPr>
            </w:pPr>
            <w:r>
              <w:rPr>
                <w:sz w:val="22"/>
              </w:rPr>
              <w:t>2-3 挑战度</w:t>
            </w:r>
          </w:p>
        </w:tc>
        <w:tc>
          <w:tcPr>
            <w:tcW w:w="5638" w:type="dxa"/>
            <w:vAlign w:val="center"/>
          </w:tcPr>
          <w:p>
            <w:pPr>
              <w:pStyle w:val="13"/>
              <w:jc w:val="left"/>
              <w:rPr>
                <w:szCs w:val="21"/>
              </w:rPr>
            </w:pPr>
            <w:r>
              <w:rPr>
                <w:szCs w:val="21"/>
              </w:rPr>
              <w:t>课程具有一定的难度，能激发学生发挥潜能对所学知识进行融会贯通和拓展应用，培养创新性思维和批判性思维。</w:t>
            </w:r>
          </w:p>
        </w:tc>
        <w:tc>
          <w:tcPr>
            <w:tcW w:w="1023" w:type="dxa"/>
            <w:vAlign w:val="center"/>
          </w:tcPr>
          <w:p>
            <w:pPr>
              <w:pStyle w:val="13"/>
              <w:jc w:val="center"/>
              <w:rPr>
                <w:sz w:val="22"/>
              </w:rPr>
            </w:pPr>
            <w:r>
              <w:rPr>
                <w:sz w:val="22"/>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jc w:val="center"/>
        </w:trPr>
        <w:tc>
          <w:tcPr>
            <w:tcW w:w="1049" w:type="dxa"/>
            <w:vMerge w:val="continue"/>
            <w:tcBorders>
              <w:top w:val="nil"/>
            </w:tcBorders>
            <w:vAlign w:val="center"/>
          </w:tcPr>
          <w:p>
            <w:pPr>
              <w:jc w:val="center"/>
              <w:rPr>
                <w:sz w:val="2"/>
                <w:szCs w:val="2"/>
              </w:rPr>
            </w:pPr>
          </w:p>
        </w:tc>
        <w:tc>
          <w:tcPr>
            <w:tcW w:w="1417" w:type="dxa"/>
            <w:vAlign w:val="center"/>
          </w:tcPr>
          <w:p>
            <w:pPr>
              <w:pStyle w:val="13"/>
              <w:jc w:val="center"/>
              <w:rPr>
                <w:sz w:val="22"/>
              </w:rPr>
            </w:pPr>
            <w:r>
              <w:rPr>
                <w:sz w:val="22"/>
              </w:rPr>
              <w:t>2-4 理论与实践活动设计</w:t>
            </w:r>
          </w:p>
        </w:tc>
        <w:tc>
          <w:tcPr>
            <w:tcW w:w="5638" w:type="dxa"/>
            <w:vAlign w:val="center"/>
          </w:tcPr>
          <w:p>
            <w:pPr>
              <w:pStyle w:val="13"/>
              <w:jc w:val="left"/>
              <w:rPr>
                <w:szCs w:val="21"/>
              </w:rPr>
            </w:pPr>
            <w:r>
              <w:rPr>
                <w:szCs w:val="21"/>
              </w:rPr>
              <w:t>社会实践课程以集中授课为辅，团队实践为主，以社会为大课堂，教师主导，学生团队为主体，走进社会参与社会活动，积累社会生活经验，体验社会生活；教师应不拘泥于常规的课堂教学安排，引导学生选定实践项目，制定实践计划，组织实践过程，落实实践活动。</w:t>
            </w:r>
          </w:p>
        </w:tc>
        <w:tc>
          <w:tcPr>
            <w:tcW w:w="1023" w:type="dxa"/>
            <w:vAlign w:val="center"/>
          </w:tcPr>
          <w:p>
            <w:pPr>
              <w:pStyle w:val="13"/>
              <w:jc w:val="center"/>
              <w:rPr>
                <w:sz w:val="22"/>
              </w:rPr>
            </w:pPr>
            <w:r>
              <w:rPr>
                <w:sz w:val="22"/>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049" w:type="dxa"/>
            <w:vMerge w:val="continue"/>
            <w:tcBorders>
              <w:top w:val="nil"/>
            </w:tcBorders>
            <w:vAlign w:val="center"/>
          </w:tcPr>
          <w:p>
            <w:pPr>
              <w:jc w:val="center"/>
              <w:rPr>
                <w:sz w:val="2"/>
                <w:szCs w:val="2"/>
              </w:rPr>
            </w:pPr>
          </w:p>
        </w:tc>
        <w:tc>
          <w:tcPr>
            <w:tcW w:w="1417" w:type="dxa"/>
            <w:vAlign w:val="center"/>
          </w:tcPr>
          <w:p>
            <w:pPr>
              <w:pStyle w:val="13"/>
              <w:jc w:val="center"/>
              <w:rPr>
                <w:sz w:val="22"/>
              </w:rPr>
            </w:pPr>
            <w:r>
              <w:rPr>
                <w:sz w:val="22"/>
              </w:rPr>
              <w:t>2-5 课程评价</w:t>
            </w:r>
          </w:p>
        </w:tc>
        <w:tc>
          <w:tcPr>
            <w:tcW w:w="5638" w:type="dxa"/>
            <w:vAlign w:val="center"/>
          </w:tcPr>
          <w:p>
            <w:pPr>
              <w:pStyle w:val="13"/>
              <w:jc w:val="left"/>
              <w:rPr>
                <w:szCs w:val="21"/>
              </w:rPr>
            </w:pPr>
            <w:r>
              <w:rPr>
                <w:szCs w:val="21"/>
              </w:rPr>
              <w:t>课程管理与评价科学且可测量，采用多元化考核评价，加强非标准化、综合性等评价。</w:t>
            </w:r>
          </w:p>
        </w:tc>
        <w:tc>
          <w:tcPr>
            <w:tcW w:w="1023" w:type="dxa"/>
            <w:vAlign w:val="center"/>
          </w:tcPr>
          <w:p>
            <w:pPr>
              <w:pStyle w:val="13"/>
              <w:jc w:val="center"/>
              <w:rPr>
                <w:sz w:val="22"/>
              </w:rPr>
            </w:pPr>
            <w:r>
              <w:rPr>
                <w:sz w:val="22"/>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049" w:type="dxa"/>
            <w:vMerge w:val="continue"/>
            <w:tcBorders>
              <w:top w:val="nil"/>
            </w:tcBorders>
            <w:vAlign w:val="center"/>
          </w:tcPr>
          <w:p>
            <w:pPr>
              <w:jc w:val="center"/>
              <w:rPr>
                <w:sz w:val="2"/>
                <w:szCs w:val="2"/>
              </w:rPr>
            </w:pPr>
          </w:p>
        </w:tc>
        <w:tc>
          <w:tcPr>
            <w:tcW w:w="1417" w:type="dxa"/>
            <w:vAlign w:val="center"/>
          </w:tcPr>
          <w:p>
            <w:pPr>
              <w:pStyle w:val="13"/>
              <w:jc w:val="center"/>
              <w:rPr>
                <w:sz w:val="22"/>
              </w:rPr>
            </w:pPr>
            <w:r>
              <w:rPr>
                <w:sz w:val="22"/>
              </w:rPr>
              <w:t>2-6 实践活动</w:t>
            </w:r>
          </w:p>
          <w:p>
            <w:pPr>
              <w:pStyle w:val="13"/>
              <w:jc w:val="center"/>
              <w:rPr>
                <w:sz w:val="22"/>
              </w:rPr>
            </w:pPr>
            <w:r>
              <w:rPr>
                <w:sz w:val="22"/>
              </w:rPr>
              <w:t>安全性</w:t>
            </w:r>
          </w:p>
        </w:tc>
        <w:tc>
          <w:tcPr>
            <w:tcW w:w="5638" w:type="dxa"/>
            <w:vAlign w:val="center"/>
          </w:tcPr>
          <w:p>
            <w:pPr>
              <w:pStyle w:val="13"/>
              <w:jc w:val="left"/>
              <w:rPr>
                <w:szCs w:val="21"/>
              </w:rPr>
            </w:pPr>
            <w:r>
              <w:rPr>
                <w:szCs w:val="21"/>
              </w:rPr>
              <w:t>制定社会实践活动管理办法，活动设置规范、运行管理及考核评价等方面加强活动制度保障。</w:t>
            </w:r>
          </w:p>
        </w:tc>
        <w:tc>
          <w:tcPr>
            <w:tcW w:w="1023" w:type="dxa"/>
            <w:vAlign w:val="center"/>
          </w:tcPr>
          <w:p>
            <w:pPr>
              <w:pStyle w:val="13"/>
              <w:jc w:val="center"/>
              <w:rPr>
                <w:sz w:val="22"/>
              </w:rPr>
            </w:pPr>
            <w:r>
              <w:rPr>
                <w:sz w:val="22"/>
              </w:rPr>
              <w:t>否决性指标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1049" w:type="dxa"/>
            <w:vMerge w:val="restart"/>
            <w:vAlign w:val="center"/>
          </w:tcPr>
          <w:p>
            <w:pPr>
              <w:pStyle w:val="13"/>
              <w:jc w:val="center"/>
              <w:rPr>
                <w:sz w:val="22"/>
              </w:rPr>
            </w:pPr>
            <w:r>
              <w:rPr>
                <w:sz w:val="22"/>
              </w:rPr>
              <w:t>3 课程内容及实践资源</w:t>
            </w:r>
          </w:p>
          <w:p>
            <w:pPr>
              <w:pStyle w:val="13"/>
              <w:jc w:val="center"/>
              <w:rPr>
                <w:sz w:val="22"/>
              </w:rPr>
            </w:pPr>
            <w:r>
              <w:rPr>
                <w:rFonts w:hint="eastAsia"/>
                <w:sz w:val="22"/>
              </w:rPr>
              <w:t>（</w:t>
            </w:r>
            <w:r>
              <w:rPr>
                <w:rFonts w:hint="eastAsia"/>
                <w:sz w:val="22"/>
                <w:lang w:val="en-US"/>
              </w:rPr>
              <w:t>20</w:t>
            </w:r>
            <w:r>
              <w:rPr>
                <w:rFonts w:hint="eastAsia"/>
                <w:sz w:val="22"/>
              </w:rPr>
              <w:t>）</w:t>
            </w:r>
          </w:p>
        </w:tc>
        <w:tc>
          <w:tcPr>
            <w:tcW w:w="1417" w:type="dxa"/>
            <w:vAlign w:val="center"/>
          </w:tcPr>
          <w:p>
            <w:pPr>
              <w:pStyle w:val="13"/>
              <w:jc w:val="center"/>
              <w:rPr>
                <w:sz w:val="22"/>
              </w:rPr>
            </w:pPr>
            <w:r>
              <w:rPr>
                <w:sz w:val="22"/>
              </w:rPr>
              <w:t>3-1 思想性</w:t>
            </w:r>
          </w:p>
        </w:tc>
        <w:tc>
          <w:tcPr>
            <w:tcW w:w="5638" w:type="dxa"/>
            <w:vAlign w:val="center"/>
          </w:tcPr>
          <w:p>
            <w:pPr>
              <w:pStyle w:val="13"/>
              <w:jc w:val="left"/>
              <w:rPr>
                <w:szCs w:val="21"/>
              </w:rPr>
            </w:pPr>
            <w:r>
              <w:rPr>
                <w:szCs w:val="21"/>
              </w:rPr>
              <w:t>坚持立德树人，能够将思想政治教育内化为课程内容，弘扬社会主义核心价值观。</w:t>
            </w:r>
          </w:p>
        </w:tc>
        <w:tc>
          <w:tcPr>
            <w:tcW w:w="1023" w:type="dxa"/>
            <w:vAlign w:val="center"/>
          </w:tcPr>
          <w:p>
            <w:pPr>
              <w:pStyle w:val="13"/>
              <w:jc w:val="center"/>
              <w:rPr>
                <w:sz w:val="22"/>
              </w:rPr>
            </w:pPr>
            <w:r>
              <w:rPr>
                <w:rFonts w:hint="eastAsia"/>
                <w:sz w:val="22"/>
                <w:lang w:val="en-US"/>
              </w:rPr>
              <w:t>10</w:t>
            </w:r>
            <w:r>
              <w:rPr>
                <w:sz w:val="22"/>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jc w:val="center"/>
        </w:trPr>
        <w:tc>
          <w:tcPr>
            <w:tcW w:w="1049" w:type="dxa"/>
            <w:vMerge w:val="continue"/>
            <w:vAlign w:val="center"/>
          </w:tcPr>
          <w:p>
            <w:pPr>
              <w:jc w:val="center"/>
              <w:rPr>
                <w:sz w:val="2"/>
                <w:szCs w:val="2"/>
              </w:rPr>
            </w:pPr>
          </w:p>
        </w:tc>
        <w:tc>
          <w:tcPr>
            <w:tcW w:w="1417" w:type="dxa"/>
            <w:vAlign w:val="center"/>
          </w:tcPr>
          <w:p>
            <w:pPr>
              <w:pStyle w:val="13"/>
              <w:jc w:val="center"/>
              <w:rPr>
                <w:sz w:val="22"/>
              </w:rPr>
            </w:pPr>
            <w:r>
              <w:rPr>
                <w:sz w:val="22"/>
              </w:rPr>
              <w:t>3-2 科学性</w:t>
            </w:r>
          </w:p>
        </w:tc>
        <w:tc>
          <w:tcPr>
            <w:tcW w:w="5638" w:type="dxa"/>
            <w:vAlign w:val="center"/>
          </w:tcPr>
          <w:p>
            <w:pPr>
              <w:pStyle w:val="13"/>
              <w:jc w:val="left"/>
              <w:rPr>
                <w:szCs w:val="21"/>
              </w:rPr>
            </w:pPr>
            <w:r>
              <w:rPr>
                <w:szCs w:val="21"/>
              </w:rPr>
              <w:t>课程内容规范完整，体现前沿性和时代性，反映学科专业最新发展成果和教改教研成果，具有较高的科学性，内容更新和完善及时。</w:t>
            </w:r>
          </w:p>
        </w:tc>
        <w:tc>
          <w:tcPr>
            <w:tcW w:w="1023" w:type="dxa"/>
            <w:vAlign w:val="center"/>
          </w:tcPr>
          <w:p>
            <w:pPr>
              <w:pStyle w:val="13"/>
              <w:jc w:val="center"/>
              <w:rPr>
                <w:sz w:val="22"/>
              </w:rPr>
            </w:pPr>
            <w:r>
              <w:rPr>
                <w:sz w:val="22"/>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jc w:val="center"/>
        </w:trPr>
        <w:tc>
          <w:tcPr>
            <w:tcW w:w="1049" w:type="dxa"/>
            <w:vMerge w:val="continue"/>
            <w:tcBorders>
              <w:bottom w:val="single" w:color="000000" w:sz="4" w:space="0"/>
            </w:tcBorders>
            <w:vAlign w:val="center"/>
          </w:tcPr>
          <w:p>
            <w:pPr>
              <w:jc w:val="center"/>
              <w:rPr>
                <w:sz w:val="2"/>
                <w:szCs w:val="2"/>
              </w:rPr>
            </w:pPr>
          </w:p>
        </w:tc>
        <w:tc>
          <w:tcPr>
            <w:tcW w:w="1417" w:type="dxa"/>
            <w:vAlign w:val="center"/>
          </w:tcPr>
          <w:p>
            <w:pPr>
              <w:pStyle w:val="13"/>
              <w:jc w:val="center"/>
              <w:rPr>
                <w:sz w:val="22"/>
              </w:rPr>
            </w:pPr>
            <w:r>
              <w:rPr>
                <w:rFonts w:hint="eastAsia"/>
                <w:sz w:val="22"/>
                <w:lang w:val="en-US"/>
              </w:rPr>
              <w:t>3-3 实践基地</w:t>
            </w:r>
          </w:p>
        </w:tc>
        <w:tc>
          <w:tcPr>
            <w:tcW w:w="5638" w:type="dxa"/>
            <w:vAlign w:val="center"/>
          </w:tcPr>
          <w:p>
            <w:pPr>
              <w:widowControl/>
              <w:jc w:val="left"/>
              <w:rPr>
                <w:rFonts w:ascii="宋体" w:hAnsi="宋体" w:eastAsia="宋体" w:cs="宋体"/>
                <w:szCs w:val="21"/>
                <w:lang w:val="zh-CN" w:bidi="zh-CN"/>
              </w:rPr>
            </w:pPr>
            <w:r>
              <w:rPr>
                <w:rFonts w:hint="eastAsia" w:ascii="宋体" w:hAnsi="宋体" w:eastAsia="宋体" w:cs="宋体"/>
                <w:szCs w:val="21"/>
                <w:lang w:val="zh-CN" w:bidi="zh-CN"/>
              </w:rPr>
              <w:t>建立相对稳定的社会实践基地，可根据社会实践活动研究社会实践活动的特点及规律，结合专业特色，充分利用社会资源，建立社会实践基地。积极开展产学研合作，打造社会实践基地的特色品牌，确保学生社会实践活动的有效开展和推进。</w:t>
            </w:r>
          </w:p>
        </w:tc>
        <w:tc>
          <w:tcPr>
            <w:tcW w:w="1023" w:type="dxa"/>
            <w:vAlign w:val="center"/>
          </w:tcPr>
          <w:p>
            <w:pPr>
              <w:pStyle w:val="13"/>
              <w:jc w:val="center"/>
              <w:rPr>
                <w:sz w:val="22"/>
              </w:rPr>
            </w:pPr>
            <w:r>
              <w:rPr>
                <w:sz w:val="22"/>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jc w:val="center"/>
        </w:trPr>
        <w:tc>
          <w:tcPr>
            <w:tcW w:w="1049" w:type="dxa"/>
            <w:vMerge w:val="restart"/>
            <w:tcBorders>
              <w:top w:val="single" w:color="000000" w:sz="4" w:space="0"/>
            </w:tcBorders>
            <w:vAlign w:val="center"/>
          </w:tcPr>
          <w:p>
            <w:pPr>
              <w:pStyle w:val="13"/>
              <w:jc w:val="center"/>
              <w:rPr>
                <w:sz w:val="22"/>
                <w:lang w:val="en-US"/>
              </w:rPr>
            </w:pPr>
            <w:r>
              <w:rPr>
                <w:rFonts w:hint="eastAsia"/>
                <w:sz w:val="22"/>
                <w:lang w:val="en-US"/>
              </w:rPr>
              <w:t>4 教学效果</w:t>
            </w:r>
          </w:p>
          <w:p>
            <w:pPr>
              <w:pStyle w:val="13"/>
              <w:jc w:val="center"/>
              <w:rPr>
                <w:sz w:val="22"/>
                <w:lang w:val="en-US"/>
              </w:rPr>
            </w:pPr>
            <w:r>
              <w:rPr>
                <w:rFonts w:hint="eastAsia"/>
                <w:sz w:val="22"/>
                <w:lang w:val="en-US"/>
              </w:rPr>
              <w:t>（15）</w:t>
            </w:r>
          </w:p>
        </w:tc>
        <w:tc>
          <w:tcPr>
            <w:tcW w:w="1417" w:type="dxa"/>
            <w:vAlign w:val="center"/>
          </w:tcPr>
          <w:p>
            <w:pPr>
              <w:pStyle w:val="13"/>
              <w:jc w:val="center"/>
              <w:rPr>
                <w:sz w:val="22"/>
              </w:rPr>
            </w:pPr>
            <w:r>
              <w:rPr>
                <w:rFonts w:hint="eastAsia"/>
                <w:sz w:val="22"/>
                <w:lang w:val="en-US"/>
              </w:rPr>
              <w:t>4-1 达成度</w:t>
            </w:r>
          </w:p>
        </w:tc>
        <w:tc>
          <w:tcPr>
            <w:tcW w:w="5638" w:type="dxa"/>
            <w:vAlign w:val="center"/>
          </w:tcPr>
          <w:p>
            <w:pPr>
              <w:widowControl/>
              <w:jc w:val="left"/>
              <w:rPr>
                <w:rFonts w:ascii="宋体" w:hAnsi="宋体" w:eastAsia="宋体" w:cs="宋体"/>
                <w:szCs w:val="21"/>
                <w:lang w:val="zh-CN" w:bidi="zh-CN"/>
              </w:rPr>
            </w:pPr>
            <w:r>
              <w:rPr>
                <w:rFonts w:hint="eastAsia" w:ascii="宋体" w:hAnsi="宋体" w:eastAsia="宋体" w:cs="宋体"/>
                <w:szCs w:val="21"/>
                <w:lang w:val="zh-CN" w:bidi="zh-CN"/>
              </w:rPr>
              <w:t>课程目标符合学校办学定位和人才培养目标，注重知识、能力、素质培养。课程目标达成度高，学生成绩分布合理，及格率高于70%。</w:t>
            </w:r>
          </w:p>
        </w:tc>
        <w:tc>
          <w:tcPr>
            <w:tcW w:w="1023" w:type="dxa"/>
            <w:vAlign w:val="center"/>
          </w:tcPr>
          <w:p>
            <w:pPr>
              <w:pStyle w:val="13"/>
              <w:jc w:val="center"/>
              <w:rPr>
                <w:sz w:val="22"/>
              </w:rPr>
            </w:pPr>
            <w:r>
              <w:rPr>
                <w:sz w:val="22"/>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jc w:val="center"/>
        </w:trPr>
        <w:tc>
          <w:tcPr>
            <w:tcW w:w="1049" w:type="dxa"/>
            <w:vMerge w:val="continue"/>
            <w:vAlign w:val="center"/>
          </w:tcPr>
          <w:p>
            <w:pPr>
              <w:jc w:val="center"/>
              <w:rPr>
                <w:sz w:val="2"/>
                <w:szCs w:val="2"/>
              </w:rPr>
            </w:pPr>
          </w:p>
        </w:tc>
        <w:tc>
          <w:tcPr>
            <w:tcW w:w="1417" w:type="dxa"/>
            <w:vAlign w:val="center"/>
          </w:tcPr>
          <w:p>
            <w:pPr>
              <w:pStyle w:val="13"/>
              <w:jc w:val="center"/>
              <w:rPr>
                <w:sz w:val="22"/>
                <w:lang w:val="en-US"/>
              </w:rPr>
            </w:pPr>
            <w:r>
              <w:rPr>
                <w:rFonts w:hint="eastAsia"/>
                <w:sz w:val="22"/>
                <w:lang w:val="en-US"/>
              </w:rPr>
              <w:t>4-2 实践活动</w:t>
            </w:r>
          </w:p>
          <w:p>
            <w:pPr>
              <w:pStyle w:val="13"/>
              <w:jc w:val="center"/>
              <w:rPr>
                <w:sz w:val="22"/>
              </w:rPr>
            </w:pPr>
            <w:r>
              <w:rPr>
                <w:rFonts w:hint="eastAsia"/>
                <w:sz w:val="22"/>
                <w:lang w:val="en-US"/>
              </w:rPr>
              <w:t>案例</w:t>
            </w:r>
          </w:p>
        </w:tc>
        <w:tc>
          <w:tcPr>
            <w:tcW w:w="5638" w:type="dxa"/>
            <w:vAlign w:val="center"/>
          </w:tcPr>
          <w:p>
            <w:pPr>
              <w:widowControl/>
              <w:jc w:val="left"/>
              <w:rPr>
                <w:rFonts w:ascii="宋体" w:hAnsi="宋体" w:eastAsia="宋体" w:cs="宋体"/>
                <w:szCs w:val="21"/>
                <w:lang w:val="zh-CN" w:bidi="zh-CN"/>
              </w:rPr>
            </w:pPr>
            <w:r>
              <w:rPr>
                <w:rFonts w:hint="eastAsia" w:ascii="宋体" w:hAnsi="宋体" w:eastAsia="宋体" w:cs="宋体"/>
                <w:szCs w:val="21"/>
                <w:lang w:val="zh-CN" w:bidi="zh-CN"/>
              </w:rPr>
              <w:t>提交不少于2次社会实践活动的案例集，活动形式多样、组织规范、育人效果显著。</w:t>
            </w:r>
          </w:p>
        </w:tc>
        <w:tc>
          <w:tcPr>
            <w:tcW w:w="1023" w:type="dxa"/>
            <w:vAlign w:val="center"/>
          </w:tcPr>
          <w:p>
            <w:pPr>
              <w:pStyle w:val="13"/>
              <w:jc w:val="center"/>
              <w:rPr>
                <w:sz w:val="22"/>
              </w:rPr>
            </w:pPr>
            <w:r>
              <w:rPr>
                <w:sz w:val="22"/>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jc w:val="center"/>
        </w:trPr>
        <w:tc>
          <w:tcPr>
            <w:tcW w:w="1049" w:type="dxa"/>
            <w:vMerge w:val="continue"/>
            <w:vAlign w:val="center"/>
          </w:tcPr>
          <w:p>
            <w:pPr>
              <w:jc w:val="center"/>
              <w:rPr>
                <w:sz w:val="2"/>
                <w:szCs w:val="2"/>
              </w:rPr>
            </w:pPr>
          </w:p>
        </w:tc>
        <w:tc>
          <w:tcPr>
            <w:tcW w:w="1417" w:type="dxa"/>
            <w:vAlign w:val="center"/>
          </w:tcPr>
          <w:p>
            <w:pPr>
              <w:pStyle w:val="13"/>
              <w:jc w:val="center"/>
              <w:rPr>
                <w:sz w:val="22"/>
              </w:rPr>
            </w:pPr>
            <w:r>
              <w:rPr>
                <w:rFonts w:hint="eastAsia"/>
                <w:sz w:val="22"/>
                <w:lang w:val="en-US"/>
              </w:rPr>
              <w:t>4-</w:t>
            </w:r>
            <w:r>
              <w:rPr>
                <w:sz w:val="22"/>
                <w:lang w:val="en-US"/>
              </w:rPr>
              <w:t>3</w:t>
            </w:r>
            <w:r>
              <w:rPr>
                <w:rFonts w:hint="eastAsia"/>
                <w:sz w:val="22"/>
                <w:lang w:val="en-US"/>
              </w:rPr>
              <w:t xml:space="preserve"> 课堂实录</w:t>
            </w:r>
          </w:p>
        </w:tc>
        <w:tc>
          <w:tcPr>
            <w:tcW w:w="5638" w:type="dxa"/>
            <w:vAlign w:val="center"/>
          </w:tcPr>
          <w:p>
            <w:pPr>
              <w:widowControl/>
              <w:jc w:val="left"/>
              <w:rPr>
                <w:rFonts w:ascii="宋体" w:hAnsi="宋体" w:eastAsia="宋体" w:cs="宋体"/>
                <w:szCs w:val="21"/>
                <w:lang w:val="zh-CN" w:bidi="zh-CN"/>
              </w:rPr>
            </w:pPr>
            <w:r>
              <w:rPr>
                <w:rFonts w:hint="eastAsia" w:ascii="宋体" w:hAnsi="宋体" w:eastAsia="宋体" w:cs="宋体"/>
                <w:szCs w:val="21"/>
                <w:lang w:val="zh-CN" w:bidi="zh-CN"/>
              </w:rPr>
              <w:t>提供的课堂实录视频，课堂讲课有激情，精神饱满；有感染力，能吸引学生的注意力；学生课堂学习参与度高，生生、师生互动性强。</w:t>
            </w:r>
          </w:p>
        </w:tc>
        <w:tc>
          <w:tcPr>
            <w:tcW w:w="1023" w:type="dxa"/>
            <w:vAlign w:val="center"/>
          </w:tcPr>
          <w:p>
            <w:pPr>
              <w:pStyle w:val="13"/>
              <w:jc w:val="center"/>
              <w:rPr>
                <w:sz w:val="22"/>
              </w:rPr>
            </w:pPr>
            <w:r>
              <w:rPr>
                <w:sz w:val="22"/>
              </w:rPr>
              <w:t>5分</w:t>
            </w:r>
          </w:p>
        </w:tc>
      </w:tr>
      <w:bookmarkEnd w:id="35"/>
    </w:tbl>
    <w:p>
      <w:pPr>
        <w:spacing w:line="570" w:lineRule="exact"/>
      </w:pPr>
    </w:p>
    <w:sectPr>
      <w:pgSz w:w="11906" w:h="16838"/>
      <w:pgMar w:top="1701" w:right="1587"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647DA13-27F5-42A0-B563-F9326C049E8A}"/>
  </w:font>
  <w:font w:name="Arial">
    <w:panose1 w:val="020B0604020202020204"/>
    <w:charset w:val="01"/>
    <w:family w:val="swiss"/>
    <w:pitch w:val="default"/>
    <w:sig w:usb0="E0002EFF" w:usb1="C000785B" w:usb2="00000009" w:usb3="00000000" w:csb0="400001FF" w:csb1="FFFF0000"/>
    <w:embedRegular r:id="rId2" w:fontKey="{D6FC669C-065F-46EA-B027-0EFF080A1471}"/>
  </w:font>
  <w:font w:name="黑体">
    <w:panose1 w:val="02010609060101010101"/>
    <w:charset w:val="86"/>
    <w:family w:val="auto"/>
    <w:pitch w:val="default"/>
    <w:sig w:usb0="800002BF" w:usb1="38CF7CFA" w:usb2="00000016" w:usb3="00000000" w:csb0="00040001" w:csb1="00000000"/>
    <w:embedRegular r:id="rId3" w:fontKey="{EB53CE9A-4594-4752-8677-4CE55F5CF0CD}"/>
  </w:font>
  <w:font w:name="Courier New">
    <w:panose1 w:val="02070309020205020404"/>
    <w:charset w:val="01"/>
    <w:family w:val="modern"/>
    <w:pitch w:val="default"/>
    <w:sig w:usb0="E0002EFF" w:usb1="C0007843" w:usb2="00000009" w:usb3="00000000" w:csb0="400001FF" w:csb1="FFFF0000"/>
    <w:embedRegular r:id="rId4" w:fontKey="{754B3D63-3903-418F-8754-3A92D8825F51}"/>
  </w:font>
  <w:font w:name="Symbol">
    <w:panose1 w:val="05050102010706020507"/>
    <w:charset w:val="02"/>
    <w:family w:val="roman"/>
    <w:pitch w:val="default"/>
    <w:sig w:usb0="00000000" w:usb1="00000000" w:usb2="00000000" w:usb3="00000000" w:csb0="80000000" w:csb1="00000000"/>
    <w:embedRegular r:id="rId5" w:fontKey="{AFB8EAD3-4A67-451C-8376-3D9FA20EE1F0}"/>
  </w:font>
  <w:font w:name="Calibri">
    <w:panose1 w:val="020F0502020204030204"/>
    <w:charset w:val="00"/>
    <w:family w:val="swiss"/>
    <w:pitch w:val="default"/>
    <w:sig w:usb0="E4002EFF" w:usb1="C000247B" w:usb2="00000009" w:usb3="00000000" w:csb0="200001FF" w:csb1="00000000"/>
    <w:embedRegular r:id="rId6" w:fontKey="{52542183-9EFF-4AD0-9866-C7884E3EE4B7}"/>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24773024-EB29-4552-9D87-4E759C3E6C5D}"/>
  </w:font>
  <w:font w:name="方正仿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8" w:fontKey="{5EB8F2A3-9C12-426C-8E3A-98694193B6EF}"/>
  </w:font>
  <w:font w:name="仿宋">
    <w:panose1 w:val="02010609060101010101"/>
    <w:charset w:val="86"/>
    <w:family w:val="modern"/>
    <w:pitch w:val="default"/>
    <w:sig w:usb0="800002BF" w:usb1="38CF7CFA" w:usb2="00000016" w:usb3="00000000" w:csb0="00040001" w:csb1="00000000"/>
    <w:embedRegular r:id="rId9" w:fontKey="{8BA8C726-46D7-42A4-91C3-31864F8E4C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center"/>
                          </w:pPr>
                          <w:r>
                            <w:fldChar w:fldCharType="begin"/>
                          </w:r>
                          <w:r>
                            <w:instrText xml:space="preserve">PAGE   \* MERGEFORMAT</w:instrText>
                          </w:r>
                          <w:r>
                            <w:fldChar w:fldCharType="separate"/>
                          </w:r>
                          <w:r>
                            <w:rPr>
                              <w:lang w:val="zh-CN"/>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3"/>
                      <w:jc w:val="center"/>
                    </w:pPr>
                    <w:r>
                      <w:fldChar w:fldCharType="begin"/>
                    </w:r>
                    <w:r>
                      <w:instrText xml:space="preserve">PAGE   \* MERGEFORMAT</w:instrText>
                    </w:r>
                    <w:r>
                      <w:fldChar w:fldCharType="separate"/>
                    </w:r>
                    <w:r>
                      <w:rPr>
                        <w:lang w:val="zh-CN"/>
                      </w:rPr>
                      <w:t>20</w:t>
                    </w:r>
                    <w:r>
                      <w:fldChar w:fldCharType="end"/>
                    </w:r>
                  </w:p>
                </w:txbxContent>
              </v:textbox>
            </v:shape>
          </w:pict>
        </mc:Fallback>
      </mc:AlternateConten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1Zjc5ZDhiYjgyZDdjZjU3MmM4MTRhYzI0YmNkZmIifQ=="/>
  </w:docVars>
  <w:rsids>
    <w:rsidRoot w:val="007A6059"/>
    <w:rsid w:val="000269A9"/>
    <w:rsid w:val="001B27C0"/>
    <w:rsid w:val="001B46D9"/>
    <w:rsid w:val="00205FCA"/>
    <w:rsid w:val="00217C1C"/>
    <w:rsid w:val="003B3C25"/>
    <w:rsid w:val="003D6334"/>
    <w:rsid w:val="0041355B"/>
    <w:rsid w:val="00463EFF"/>
    <w:rsid w:val="00561023"/>
    <w:rsid w:val="005820EF"/>
    <w:rsid w:val="007A6059"/>
    <w:rsid w:val="007F7B82"/>
    <w:rsid w:val="008F3420"/>
    <w:rsid w:val="009E74BC"/>
    <w:rsid w:val="00A160CF"/>
    <w:rsid w:val="00A33B8F"/>
    <w:rsid w:val="00B7351C"/>
    <w:rsid w:val="00B77F83"/>
    <w:rsid w:val="00B819D3"/>
    <w:rsid w:val="00BE6E49"/>
    <w:rsid w:val="00BF7642"/>
    <w:rsid w:val="00C64A21"/>
    <w:rsid w:val="00CC1B3E"/>
    <w:rsid w:val="00D950FB"/>
    <w:rsid w:val="00DA06F9"/>
    <w:rsid w:val="00E70839"/>
    <w:rsid w:val="00FD7865"/>
    <w:rsid w:val="02EC20D1"/>
    <w:rsid w:val="03F67248"/>
    <w:rsid w:val="07231DF7"/>
    <w:rsid w:val="07F92E63"/>
    <w:rsid w:val="090D3EE4"/>
    <w:rsid w:val="09EB0ED1"/>
    <w:rsid w:val="0A3B46F5"/>
    <w:rsid w:val="0BF95B27"/>
    <w:rsid w:val="0E7E65A7"/>
    <w:rsid w:val="0E851662"/>
    <w:rsid w:val="10457D36"/>
    <w:rsid w:val="11D566EF"/>
    <w:rsid w:val="11DA3D05"/>
    <w:rsid w:val="127777A6"/>
    <w:rsid w:val="12AF5192"/>
    <w:rsid w:val="138403CC"/>
    <w:rsid w:val="13BD568C"/>
    <w:rsid w:val="13D80718"/>
    <w:rsid w:val="15BF393E"/>
    <w:rsid w:val="15E433A4"/>
    <w:rsid w:val="16373311"/>
    <w:rsid w:val="173739A8"/>
    <w:rsid w:val="176C18A3"/>
    <w:rsid w:val="17CA1B6D"/>
    <w:rsid w:val="18027B12"/>
    <w:rsid w:val="189746FE"/>
    <w:rsid w:val="197C1B46"/>
    <w:rsid w:val="1A3441CE"/>
    <w:rsid w:val="1A676352"/>
    <w:rsid w:val="1B7A2A77"/>
    <w:rsid w:val="1BA15893"/>
    <w:rsid w:val="1C112A19"/>
    <w:rsid w:val="1D383FD6"/>
    <w:rsid w:val="20DB7785"/>
    <w:rsid w:val="215C4736"/>
    <w:rsid w:val="22941CAE"/>
    <w:rsid w:val="25396B3D"/>
    <w:rsid w:val="256C6F12"/>
    <w:rsid w:val="27821C51"/>
    <w:rsid w:val="27C60B5C"/>
    <w:rsid w:val="27F86F01"/>
    <w:rsid w:val="28C859DF"/>
    <w:rsid w:val="28CF3A40"/>
    <w:rsid w:val="2AB4113F"/>
    <w:rsid w:val="2AD01CF1"/>
    <w:rsid w:val="2B724D12"/>
    <w:rsid w:val="2C29790B"/>
    <w:rsid w:val="2DB66F7C"/>
    <w:rsid w:val="2DF76F93"/>
    <w:rsid w:val="2F6649D2"/>
    <w:rsid w:val="2F8A6913"/>
    <w:rsid w:val="31F938DC"/>
    <w:rsid w:val="32A777DC"/>
    <w:rsid w:val="32B048E2"/>
    <w:rsid w:val="32BF57F9"/>
    <w:rsid w:val="33582DBD"/>
    <w:rsid w:val="335C05C6"/>
    <w:rsid w:val="339715FE"/>
    <w:rsid w:val="3586192A"/>
    <w:rsid w:val="36162CAE"/>
    <w:rsid w:val="36974ED0"/>
    <w:rsid w:val="36996C83"/>
    <w:rsid w:val="37D90437"/>
    <w:rsid w:val="387D02B0"/>
    <w:rsid w:val="38E70932"/>
    <w:rsid w:val="3A541FF7"/>
    <w:rsid w:val="3AA52853"/>
    <w:rsid w:val="3AB111F7"/>
    <w:rsid w:val="3C544530"/>
    <w:rsid w:val="3CC72F54"/>
    <w:rsid w:val="3E1B25D2"/>
    <w:rsid w:val="3E3E7246"/>
    <w:rsid w:val="3EF7501E"/>
    <w:rsid w:val="40572F81"/>
    <w:rsid w:val="40BF3F42"/>
    <w:rsid w:val="411424E0"/>
    <w:rsid w:val="41526B64"/>
    <w:rsid w:val="434370AD"/>
    <w:rsid w:val="44450C02"/>
    <w:rsid w:val="44A771C7"/>
    <w:rsid w:val="47FE17F4"/>
    <w:rsid w:val="480C2163"/>
    <w:rsid w:val="4B7B27E2"/>
    <w:rsid w:val="4DAA7254"/>
    <w:rsid w:val="4E861B82"/>
    <w:rsid w:val="4EFB083B"/>
    <w:rsid w:val="4F6F1BB2"/>
    <w:rsid w:val="4F7C7BCE"/>
    <w:rsid w:val="519F7BA4"/>
    <w:rsid w:val="51C81920"/>
    <w:rsid w:val="54EE6A40"/>
    <w:rsid w:val="55E77D6B"/>
    <w:rsid w:val="56582A17"/>
    <w:rsid w:val="578320CF"/>
    <w:rsid w:val="588B0E82"/>
    <w:rsid w:val="5913647E"/>
    <w:rsid w:val="59AD307A"/>
    <w:rsid w:val="59C81C62"/>
    <w:rsid w:val="59D800F7"/>
    <w:rsid w:val="5A0675DF"/>
    <w:rsid w:val="5A6B2D19"/>
    <w:rsid w:val="5AAE70AA"/>
    <w:rsid w:val="5AFA409D"/>
    <w:rsid w:val="5B1909C7"/>
    <w:rsid w:val="5C514191"/>
    <w:rsid w:val="5D07484F"/>
    <w:rsid w:val="5D6D4FFA"/>
    <w:rsid w:val="5E1436C8"/>
    <w:rsid w:val="5E5166CA"/>
    <w:rsid w:val="5EE17A4E"/>
    <w:rsid w:val="602C2F4B"/>
    <w:rsid w:val="606F4BE5"/>
    <w:rsid w:val="62D358FF"/>
    <w:rsid w:val="638B1FD5"/>
    <w:rsid w:val="63B76FCF"/>
    <w:rsid w:val="65D75707"/>
    <w:rsid w:val="66770C98"/>
    <w:rsid w:val="670E33AA"/>
    <w:rsid w:val="671D35ED"/>
    <w:rsid w:val="69865729"/>
    <w:rsid w:val="6B0D3978"/>
    <w:rsid w:val="6B144D07"/>
    <w:rsid w:val="6BCD4D8A"/>
    <w:rsid w:val="6C157D3A"/>
    <w:rsid w:val="6C6D0B73"/>
    <w:rsid w:val="6E6A0126"/>
    <w:rsid w:val="6E8977BA"/>
    <w:rsid w:val="6E8D72AA"/>
    <w:rsid w:val="6FE729EA"/>
    <w:rsid w:val="722C6DDA"/>
    <w:rsid w:val="75AD0A15"/>
    <w:rsid w:val="774150D6"/>
    <w:rsid w:val="774C3B21"/>
    <w:rsid w:val="78A22303"/>
    <w:rsid w:val="78FF6FF6"/>
    <w:rsid w:val="797A667D"/>
    <w:rsid w:val="7A3C5F2B"/>
    <w:rsid w:val="7B25086A"/>
    <w:rsid w:val="7B845591"/>
    <w:rsid w:val="7C240B22"/>
    <w:rsid w:val="7CAD2FE9"/>
    <w:rsid w:val="7CE53FF5"/>
    <w:rsid w:val="7CF44998"/>
    <w:rsid w:val="7E5C45A3"/>
    <w:rsid w:val="7EB73ECF"/>
    <w:rsid w:val="7F037115"/>
    <w:rsid w:val="7F272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0"/>
    <w:pPr>
      <w:jc w:val="left"/>
    </w:p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2"/>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页眉 字符"/>
    <w:basedOn w:val="7"/>
    <w:link w:val="4"/>
    <w:qFormat/>
    <w:uiPriority w:val="0"/>
    <w:rPr>
      <w:kern w:val="2"/>
      <w:sz w:val="18"/>
      <w:szCs w:val="18"/>
    </w:rPr>
  </w:style>
  <w:style w:type="paragraph" w:customStyle="1" w:styleId="10">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1">
    <w:name w:val="批注文字 字符"/>
    <w:basedOn w:val="7"/>
    <w:link w:val="2"/>
    <w:semiHidden/>
    <w:qFormat/>
    <w:uiPriority w:val="0"/>
    <w:rPr>
      <w:kern w:val="2"/>
      <w:sz w:val="21"/>
      <w:szCs w:val="24"/>
    </w:rPr>
  </w:style>
  <w:style w:type="character" w:customStyle="1" w:styleId="12">
    <w:name w:val="批注主题 字符"/>
    <w:basedOn w:val="11"/>
    <w:link w:val="5"/>
    <w:semiHidden/>
    <w:qFormat/>
    <w:uiPriority w:val="0"/>
    <w:rPr>
      <w:b/>
      <w:bCs/>
      <w:kern w:val="2"/>
      <w:sz w:val="21"/>
      <w:szCs w:val="24"/>
    </w:rPr>
  </w:style>
  <w:style w:type="paragraph" w:customStyle="1" w:styleId="13">
    <w:name w:val="Table Paragraph"/>
    <w:basedOn w:val="1"/>
    <w:qFormat/>
    <w:uiPriority w:val="1"/>
    <w:rPr>
      <w:rFonts w:ascii="宋体" w:hAnsi="宋体" w:eastAsia="宋体" w:cs="宋体"/>
      <w:lang w:val="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9035</Words>
  <Characters>9301</Characters>
  <Lines>71</Lines>
  <Paragraphs>20</Paragraphs>
  <TotalTime>3</TotalTime>
  <ScaleCrop>false</ScaleCrop>
  <LinksUpToDate>false</LinksUpToDate>
  <CharactersWithSpaces>9420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你条蕉</cp:lastModifiedBy>
  <cp:lastPrinted>2022-05-16T04:48:00Z</cp:lastPrinted>
  <dcterms:modified xsi:type="dcterms:W3CDTF">2022-05-16T07:31:01Z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3949EE25CBEB4ACD9BC6A7938A6566A0</vt:lpwstr>
  </property>
  <property fmtid="{D5CDD505-2E9C-101B-9397-08002B2CF9AE}" pid="4" name="KSOSaveFontToCloudKey">
    <vt:lpwstr>286736687_embed</vt:lpwstr>
  </property>
</Properties>
</file>